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word/_rels/head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drawing>
          <wp:anchor behindDoc="1" distT="0" distB="0" distL="0" distR="0" simplePos="0" locked="0" layoutInCell="0" allowOverlap="1" relativeHeight="2">
            <wp:simplePos x="0" y="0"/>
            <wp:positionH relativeFrom="column">
              <wp:posOffset>-457200</wp:posOffset>
            </wp:positionH>
            <wp:positionV relativeFrom="paragraph">
              <wp:posOffset>-488950</wp:posOffset>
            </wp:positionV>
            <wp:extent cx="7583170" cy="10799445"/>
            <wp:effectExtent l="0" t="0" r="0" b="0"/>
            <wp:wrapNone/>
            <wp:docPr id="1" name="Grafik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0" descr=""/>
                    <pic:cNvPicPr>
                      <a:picLocks noChangeAspect="1" noChangeArrowheads="1"/>
                    </pic:cNvPicPr>
                  </pic:nvPicPr>
                  <pic:blipFill>
                    <a:blip r:embed="rId2"/>
                    <a:stretch>
                      <a:fillRect/>
                    </a:stretch>
                  </pic:blipFill>
                  <pic:spPr bwMode="auto">
                    <a:xfrm>
                      <a:off x="0" y="0"/>
                      <a:ext cx="7583170" cy="10799445"/>
                    </a:xfrm>
                    <a:prstGeom prst="rect">
                      <a:avLst/>
                    </a:prstGeom>
                  </pic:spPr>
                </pic:pic>
              </a:graphicData>
            </a:graphic>
          </wp:anchor>
        </w:drawing>
      </w:r>
    </w:p>
    <w:p>
      <w:pPr>
        <w:sectPr>
          <w:footerReference w:type="default" r:id="rId4"/>
          <w:type w:val="nextPage"/>
          <w:pgSz w:w="11906" w:h="16838"/>
          <w:pgMar w:left="720" w:right="720" w:gutter="0" w:header="0" w:top="720" w:footer="397" w:bottom="720"/>
          <w:pgNumType w:fmt="decimal"/>
          <w:formProt w:val="false"/>
          <w:textDirection w:val="lrTb"/>
          <w:docGrid w:type="default" w:linePitch="100" w:charSpace="4096"/>
        </w:sectPr>
        <w:pStyle w:val="Normal"/>
        <w:rPr/>
      </w:pPr>
      <w:r>
        <w:rPr/>
        <w:drawing>
          <wp:anchor behindDoc="0" distT="0" distB="0" distL="114300" distR="114300" simplePos="0" locked="0" layoutInCell="0" allowOverlap="1" relativeHeight="3">
            <wp:simplePos x="0" y="0"/>
            <wp:positionH relativeFrom="column">
              <wp:posOffset>3175000</wp:posOffset>
            </wp:positionH>
            <wp:positionV relativeFrom="paragraph">
              <wp:posOffset>8138795</wp:posOffset>
            </wp:positionV>
            <wp:extent cx="1816100" cy="1244600"/>
            <wp:effectExtent l="0" t="0" r="0" b="0"/>
            <wp:wrapTight wrapText="bothSides">
              <wp:wrapPolygon edited="0">
                <wp:start x="-2" y="0"/>
                <wp:lineTo x="-2" y="5621"/>
                <wp:lineTo x="1357" y="5621"/>
                <wp:lineTo x="-2" y="9260"/>
                <wp:lineTo x="-2" y="15546"/>
                <wp:lineTo x="7475" y="16206"/>
                <wp:lineTo x="-2" y="21169"/>
                <wp:lineTo x="11327" y="21169"/>
                <wp:lineTo x="11553" y="21169"/>
                <wp:lineTo x="15857" y="11906"/>
                <wp:lineTo x="15178" y="10914"/>
                <wp:lineTo x="10646" y="10914"/>
                <wp:lineTo x="19482" y="9591"/>
                <wp:lineTo x="20842" y="7606"/>
                <wp:lineTo x="19709" y="5621"/>
                <wp:lineTo x="14952" y="0"/>
                <wp:lineTo x="-2" y="0"/>
              </wp:wrapPolygon>
            </wp:wrapTight>
            <wp:docPr id="2"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4" descr=""/>
                    <pic:cNvPicPr>
                      <a:picLocks noChangeAspect="1" noChangeArrowheads="1"/>
                    </pic:cNvPicPr>
                  </pic:nvPicPr>
                  <pic:blipFill>
                    <a:blip r:embed="rId3"/>
                    <a:stretch>
                      <a:fillRect/>
                    </a:stretch>
                  </pic:blipFill>
                  <pic:spPr bwMode="auto">
                    <a:xfrm>
                      <a:off x="0" y="0"/>
                      <a:ext cx="1816100" cy="1244600"/>
                    </a:xfrm>
                    <a:prstGeom prst="rect">
                      <a:avLst/>
                    </a:prstGeom>
                  </pic:spPr>
                </pic:pic>
              </a:graphicData>
            </a:graphic>
          </wp:anchor>
        </w:drawing>
        <mc:AlternateContent>
          <mc:Choice Requires="wps">
            <w:drawing>
              <wp:anchor behindDoc="0" distT="0" distB="13970" distL="0" distR="11430" simplePos="0" locked="0" layoutInCell="0" allowOverlap="1" relativeHeight="4" wp14:anchorId="1EE084D4">
                <wp:simplePos x="0" y="0"/>
                <wp:positionH relativeFrom="column">
                  <wp:posOffset>227965</wp:posOffset>
                </wp:positionH>
                <wp:positionV relativeFrom="paragraph">
                  <wp:posOffset>7085330</wp:posOffset>
                </wp:positionV>
                <wp:extent cx="2026285" cy="614680"/>
                <wp:effectExtent l="635" t="0" r="0" b="0"/>
                <wp:wrapNone/>
                <wp:docPr id="3" name="Textrahmen 1"/>
                <a:graphic xmlns:a="http://schemas.openxmlformats.org/drawingml/2006/main">
                  <a:graphicData uri="http://schemas.microsoft.com/office/word/2010/wordprocessingShape">
                    <wps:wsp>
                      <wps:cNvSpPr/>
                      <wps:spPr>
                        <a:xfrm>
                          <a:off x="0" y="0"/>
                          <a:ext cx="2026440" cy="614520"/>
                        </a:xfrm>
                        <a:prstGeom prst="rect">
                          <a:avLst/>
                        </a:prstGeom>
                        <a:noFill/>
                        <a:ln w="0">
                          <a:noFill/>
                        </a:ln>
                      </wps:spPr>
                      <wps:style>
                        <a:lnRef idx="0"/>
                        <a:fillRef idx="0"/>
                        <a:effectRef idx="0"/>
                        <a:fontRef idx="minor"/>
                      </wps:style>
                      <wps:txbx>
                        <w:txbxContent>
                          <w:p>
                            <w:pPr>
                              <w:pStyle w:val="Rahmeninhalt"/>
                              <w:spacing w:before="0" w:after="160"/>
                              <w:rPr>
                                <w:sz w:val="36"/>
                                <w:szCs w:val="36"/>
                              </w:rPr>
                            </w:pPr>
                            <w:r>
                              <w:rPr>
                                <w:b/>
                                <w:bCs/>
                                <w:color w:val="3465A4"/>
                                <w:sz w:val="36"/>
                                <w:szCs w:val="36"/>
                              </w:rPr>
                              <w:t>Koncept radionice</w:t>
                            </w:r>
                          </w:p>
                        </w:txbxContent>
                      </wps:txbx>
                      <wps:bodyPr lIns="0" rIns="0" tIns="0" bIns="0" anchor="t">
                        <a:noAutofit/>
                      </wps:bodyPr>
                    </wps:wsp>
                  </a:graphicData>
                </a:graphic>
              </wp:anchor>
            </w:drawing>
          </mc:Choice>
          <mc:Fallback>
            <w:pict>
              <v:rect id="shape_0" ID="Textrahmen 1" path="m0,0l-2147483645,0l-2147483645,-2147483646l0,-2147483646xe" stroked="f" o:allowincell="f" style="position:absolute;margin-left:17.95pt;margin-top:557.9pt;width:159.5pt;height:48.35pt;mso-wrap-style:none;v-text-anchor:top" wp14:anchorId="1EE084D4">
                <v:fill o:detectmouseclick="t" on="false"/>
                <v:stroke color="#3465a4" joinstyle="round" endcap="flat"/>
                <v:textbox>
                  <w:txbxContent>
                    <w:p>
                      <w:pPr>
                        <w:pStyle w:val="Rahmeninhalt"/>
                        <w:spacing w:before="0" w:after="160"/>
                        <w:rPr>
                          <w:sz w:val="36"/>
                          <w:szCs w:val="36"/>
                        </w:rPr>
                      </w:pPr>
                      <w:r>
                        <w:rPr>
                          <w:b/>
                          <w:bCs/>
                          <w:color w:val="3465A4"/>
                          <w:sz w:val="36"/>
                          <w:szCs w:val="36"/>
                        </w:rPr>
                        <w:t>Koncept radionice</w:t>
                      </w:r>
                    </w:p>
                  </w:txbxContent>
                </v:textbox>
                <w10:wrap type="none"/>
              </v:rect>
            </w:pict>
          </mc:Fallback>
        </mc:AlternateContent>
        <mc:AlternateContent>
          <mc:Choice Requires="wps">
            <w:drawing>
              <wp:anchor behindDoc="0" distT="45720" distB="45085" distL="114300" distR="114300" simplePos="0" locked="0" layoutInCell="0" allowOverlap="1" relativeHeight="63" wp14:anchorId="237B9158">
                <wp:simplePos x="0" y="0"/>
                <wp:positionH relativeFrom="column">
                  <wp:posOffset>145415</wp:posOffset>
                </wp:positionH>
                <wp:positionV relativeFrom="paragraph">
                  <wp:posOffset>5483860</wp:posOffset>
                </wp:positionV>
                <wp:extent cx="6211570" cy="1550035"/>
                <wp:effectExtent l="0" t="0" r="0" b="0"/>
                <wp:wrapTight wrapText="bothSides">
                  <wp:wrapPolygon edited="0">
                    <wp:start x="234" y="0"/>
                    <wp:lineTo x="234" y="21237"/>
                    <wp:lineTo x="21340" y="21237"/>
                    <wp:lineTo x="21340" y="0"/>
                    <wp:lineTo x="234" y="0"/>
                  </wp:wrapPolygon>
                </wp:wrapTight>
                <wp:docPr id="5" name="Text Box 2"/>
                <a:graphic xmlns:a="http://schemas.openxmlformats.org/drawingml/2006/main">
                  <a:graphicData uri="http://schemas.microsoft.com/office/word/2010/wordprocessingShape">
                    <wps:wsp>
                      <wps:cNvSpPr/>
                      <wps:spPr>
                        <a:xfrm>
                          <a:off x="0" y="0"/>
                          <a:ext cx="6211440" cy="1550160"/>
                        </a:xfrm>
                        <a:prstGeom prst="rect">
                          <a:avLst/>
                        </a:prstGeom>
                        <a:noFill/>
                        <a:ln w="9525">
                          <a:noFill/>
                        </a:ln>
                      </wps:spPr>
                      <wps:style>
                        <a:lnRef idx="0"/>
                        <a:fillRef idx="0"/>
                        <a:effectRef idx="0"/>
                        <a:fontRef idx="minor"/>
                      </wps:style>
                      <wps:txbx>
                        <w:txbxContent>
                          <w:p>
                            <w:pPr>
                              <w:pStyle w:val="Titel"/>
                              <w:rPr>
                                <w:b/>
                                <w:b/>
                                <w:bCs/>
                              </w:rPr>
                            </w:pPr>
                            <w:r>
                              <w:rPr>
                                <w:rFonts w:eastAsia="Calibri" w:cs="Tahoma"/>
                                <w:b/>
                                <w:bCs/>
                                <w:color w:val="F15621"/>
                                <w:spacing w:val="-10"/>
                                <w:kern w:val="2"/>
                                <w:sz w:val="64"/>
                                <w:szCs w:val="64"/>
                              </w:rPr>
                              <w:t>Isključen</w:t>
                            </w:r>
                            <w:r>
                              <w:rPr>
                                <w:b/>
                                <w:bCs/>
                              </w:rPr>
                              <w:t xml:space="preserve"> zrakoplovni način rada</w:t>
                            </w:r>
                          </w:p>
                          <w:p>
                            <w:pPr>
                              <w:pStyle w:val="Titel"/>
                              <w:rPr>
                                <w:sz w:val="30"/>
                                <w:szCs w:val="30"/>
                              </w:rPr>
                            </w:pPr>
                            <w:r>
                              <w:rPr>
                                <w:sz w:val="30"/>
                                <w:szCs w:val="30"/>
                              </w:rPr>
                              <w:t>Simulacijska igra koja se temelji na društveno pravednoj dekonstrukciji zračne luke</w:t>
                            </w:r>
                          </w:p>
                          <w:p>
                            <w:pPr>
                              <w:pStyle w:val="Normal"/>
                              <w:spacing w:before="0" w:after="160"/>
                              <w:rPr>
                                <w:sz w:val="44"/>
                                <w:szCs w:val="44"/>
                              </w:rPr>
                            </w:pPr>
                            <w:r>
                              <w:rPr>
                                <w:sz w:val="44"/>
                                <w:szCs w:val="44"/>
                              </w:rPr>
                            </w:r>
                          </w:p>
                        </w:txbxContent>
                      </wps:txbx>
                      <wps:bodyPr anchor="t">
                        <a:noAutofit/>
                      </wps:bodyPr>
                    </wps:wsp>
                  </a:graphicData>
                </a:graphic>
              </wp:anchor>
            </w:drawing>
          </mc:Choice>
          <mc:Fallback>
            <w:pict>
              <v:rect id="shape_0" ID="Text Box 2" path="m0,0l-2147483645,0l-2147483645,-2147483646l0,-2147483646xe" stroked="f" o:allowincell="f" style="position:absolute;margin-left:11.45pt;margin-top:431.8pt;width:489.05pt;height:122pt;mso-wrap-style:square;v-text-anchor:top" wp14:anchorId="237B9158">
                <v:fill o:detectmouseclick="t" on="false"/>
                <v:stroke color="#3465a4" weight="9360" joinstyle="miter" endcap="flat"/>
                <v:textbox>
                  <w:txbxContent>
                    <w:p>
                      <w:pPr>
                        <w:pStyle w:val="Titel"/>
                        <w:rPr>
                          <w:b/>
                          <w:b/>
                          <w:bCs/>
                        </w:rPr>
                      </w:pPr>
                      <w:r>
                        <w:rPr>
                          <w:rFonts w:eastAsia="Calibri" w:cs="Tahoma"/>
                          <w:b/>
                          <w:bCs/>
                          <w:color w:val="F15621"/>
                          <w:spacing w:val="-10"/>
                          <w:kern w:val="2"/>
                          <w:sz w:val="64"/>
                          <w:szCs w:val="64"/>
                        </w:rPr>
                        <w:t>Isključen</w:t>
                      </w:r>
                      <w:r>
                        <w:rPr>
                          <w:b/>
                          <w:bCs/>
                        </w:rPr>
                        <w:t xml:space="preserve"> zrakoplovni način rada</w:t>
                      </w:r>
                    </w:p>
                    <w:p>
                      <w:pPr>
                        <w:pStyle w:val="Titel"/>
                        <w:rPr>
                          <w:sz w:val="30"/>
                          <w:szCs w:val="30"/>
                        </w:rPr>
                      </w:pPr>
                      <w:r>
                        <w:rPr>
                          <w:sz w:val="30"/>
                          <w:szCs w:val="30"/>
                        </w:rPr>
                        <w:t>Simulacijska igra koja se temelji na društveno pravednoj dekonstrukciji zračne luke</w:t>
                      </w:r>
                    </w:p>
                    <w:p>
                      <w:pPr>
                        <w:pStyle w:val="Normal"/>
                        <w:spacing w:before="0" w:after="160"/>
                        <w:rPr>
                          <w:sz w:val="44"/>
                          <w:szCs w:val="44"/>
                        </w:rPr>
                      </w:pPr>
                      <w:r>
                        <w:rPr>
                          <w:sz w:val="44"/>
                          <w:szCs w:val="44"/>
                        </w:rPr>
                      </w:r>
                    </w:p>
                  </w:txbxContent>
                </v:textbox>
                <w10:wrap type="square"/>
              </v:rect>
            </w:pict>
          </mc:Fallback>
        </mc:AlternateContent>
      </w:r>
    </w:p>
    <w:p>
      <w:pPr>
        <w:pStyle w:val="Textbody"/>
        <w:jc w:val="both"/>
        <w:rPr/>
      </w:pPr>
      <w:r>
        <w:rPr/>
      </w:r>
    </w:p>
    <w:p>
      <w:pPr>
        <w:pStyle w:val="Textbody"/>
        <w:jc w:val="both"/>
        <w:rPr/>
      </w:pPr>
      <w:r>
        <w:rPr/>
      </w:r>
    </w:p>
    <w:p>
      <w:pPr>
        <w:pStyle w:val="Textbody"/>
        <w:rPr>
          <w:b/>
          <w:b/>
          <w:bCs/>
          <w:color w:val="F15621"/>
          <w:sz w:val="28"/>
        </w:rPr>
      </w:pPr>
      <w:r>
        <w:rPr>
          <w:b/>
          <w:bCs/>
          <w:color w:val="F15621"/>
          <w:sz w:val="28"/>
        </w:rPr>
        <w:t>Tablica sadržaja</w:t>
      </w:r>
    </w:p>
    <w:p>
      <w:pPr>
        <w:pStyle w:val="Contents1"/>
        <w:tabs>
          <w:tab w:val="clear" w:pos="708"/>
          <w:tab w:val="right" w:pos="9072" w:leader="dot"/>
        </w:tabs>
        <w:rPr/>
      </w:pPr>
      <w:hyperlink w:anchor="__RefHeading___Toc63384_2533773440">
        <w:r>
          <w:rPr/>
          <w:t>Činjenice</w:t>
          <w:tab/>
          <w:t>1</w:t>
        </w:r>
      </w:hyperlink>
    </w:p>
    <w:p>
      <w:pPr>
        <w:pStyle w:val="Contents1"/>
        <w:tabs>
          <w:tab w:val="clear" w:pos="708"/>
          <w:tab w:val="right" w:pos="9072" w:leader="dot"/>
        </w:tabs>
        <w:rPr/>
      </w:pPr>
      <w:hyperlink w:anchor="__RefHeading___Toc1179_839802668">
        <w:r>
          <w:rPr/>
          <w:t>Kratki opis radionice</w:t>
          <w:tab/>
          <w:t>1</w:t>
        </w:r>
      </w:hyperlink>
    </w:p>
    <w:p>
      <w:pPr>
        <w:pStyle w:val="Contents1"/>
        <w:tabs>
          <w:tab w:val="clear" w:pos="708"/>
          <w:tab w:val="right" w:pos="9072" w:leader="dot"/>
        </w:tabs>
        <w:rPr/>
      </w:pPr>
      <w:hyperlink w:anchor="__RefHeading___Toc1181_839802668">
        <w:r>
          <w:rPr/>
          <w:t>Ciljevi radionice</w:t>
          <w:tab/>
          <w:t>2</w:t>
        </w:r>
      </w:hyperlink>
    </w:p>
    <w:p>
      <w:pPr>
        <w:pStyle w:val="Contents1"/>
        <w:tabs>
          <w:tab w:val="clear" w:pos="708"/>
          <w:tab w:val="right" w:pos="9072" w:leader="dot"/>
        </w:tabs>
        <w:rPr/>
      </w:pPr>
      <w:hyperlink w:anchor="__RefHeading___Toc1183_839802668">
        <w:r>
          <w:rPr/>
          <w:t>Ciljna skupina</w:t>
          <w:tab/>
          <w:t>2</w:t>
        </w:r>
      </w:hyperlink>
    </w:p>
    <w:p>
      <w:pPr>
        <w:pStyle w:val="Contents1"/>
        <w:tabs>
          <w:tab w:val="clear" w:pos="708"/>
          <w:tab w:val="right" w:pos="9072" w:leader="dot"/>
        </w:tabs>
        <w:rPr/>
      </w:pPr>
      <w:hyperlink w:anchor="__RefHeading___Toc1185_839802668">
        <w:r>
          <w:rPr/>
          <w:t>Pregled radionice</w:t>
          <w:tab/>
          <w:t>3</w:t>
        </w:r>
      </w:hyperlink>
    </w:p>
    <w:p>
      <w:pPr>
        <w:pStyle w:val="Contents2"/>
        <w:tabs>
          <w:tab w:val="clear" w:pos="708"/>
          <w:tab w:val="right" w:pos="9292" w:leader="dot"/>
        </w:tabs>
        <w:rPr/>
      </w:pPr>
      <w:hyperlink w:anchor="__RefHeading___Toc11311_1773323320">
        <w:r>
          <w:rPr/>
          <w:t>Aktivnost 1: Dobrodošlica i organizacijska pitanja</w:t>
          <w:tab/>
          <w:t>5</w:t>
        </w:r>
      </w:hyperlink>
    </w:p>
    <w:p>
      <w:pPr>
        <w:pStyle w:val="Contents2"/>
        <w:tabs>
          <w:tab w:val="clear" w:pos="708"/>
          <w:tab w:val="right" w:pos="9292" w:leader="dot"/>
        </w:tabs>
        <w:rPr/>
      </w:pPr>
      <w:hyperlink w:anchor="__RefHeading___Toc1191_839802668">
        <w:r>
          <w:rPr/>
          <w:t>Aktivnost 2: Uvod u sadržaj</w:t>
          <w:tab/>
          <w:t>6</w:t>
        </w:r>
      </w:hyperlink>
    </w:p>
    <w:p>
      <w:pPr>
        <w:pStyle w:val="Contents2"/>
        <w:tabs>
          <w:tab w:val="clear" w:pos="708"/>
          <w:tab w:val="right" w:pos="9292" w:leader="dot"/>
        </w:tabs>
        <w:rPr/>
      </w:pPr>
      <w:hyperlink w:anchor="__RefHeading___Toc1187_8398026681">
        <w:r>
          <w:rPr/>
          <w:t>Aktivnost 4: Početak igre</w:t>
          <w:tab/>
          <w:t>10</w:t>
        </w:r>
      </w:hyperlink>
    </w:p>
    <w:p>
      <w:pPr>
        <w:pStyle w:val="Contents2"/>
        <w:tabs>
          <w:tab w:val="clear" w:pos="708"/>
          <w:tab w:val="right" w:pos="9292" w:leader="dot"/>
        </w:tabs>
        <w:rPr/>
      </w:pPr>
      <w:hyperlink w:anchor="__RefHeading___Toc7507_3574585923">
        <w:r>
          <w:rPr/>
          <w:t>Pauza 5 minuta</w:t>
          <w:tab/>
          <w:t>10</w:t>
        </w:r>
      </w:hyperlink>
    </w:p>
    <w:p>
      <w:pPr>
        <w:pStyle w:val="Contents2"/>
        <w:tabs>
          <w:tab w:val="clear" w:pos="708"/>
          <w:tab w:val="right" w:pos="9292" w:leader="dot"/>
        </w:tabs>
        <w:rPr/>
      </w:pPr>
      <w:hyperlink w:anchor="__RefHeading___Toc1187_8398026682">
        <w:r>
          <w:rPr/>
          <w:t>Aktivnost 5a: Otvaranje kruga</w:t>
          <w:tab/>
          <w:t>11</w:t>
        </w:r>
      </w:hyperlink>
    </w:p>
    <w:p>
      <w:pPr>
        <w:pStyle w:val="Contents2"/>
        <w:tabs>
          <w:tab w:val="clear" w:pos="708"/>
          <w:tab w:val="right" w:pos="9292" w:leader="dot"/>
        </w:tabs>
        <w:rPr/>
      </w:pPr>
      <w:hyperlink w:anchor="__RefHeading___Toc1187_83980266821">
        <w:r>
          <w:rPr/>
          <w:t>Aktivnost 5.b: Pregovaračka faza 1 - Bilateralno</w:t>
          <w:tab/>
          <w:t>13</w:t>
        </w:r>
      </w:hyperlink>
    </w:p>
    <w:p>
      <w:pPr>
        <w:pStyle w:val="Contents2"/>
        <w:tabs>
          <w:tab w:val="clear" w:pos="708"/>
          <w:tab w:val="right" w:pos="9292" w:leader="dot"/>
        </w:tabs>
        <w:rPr/>
      </w:pPr>
      <w:hyperlink w:anchor="__RefHeading___Toc1187_839802668211">
        <w:r>
          <w:rPr/>
          <w:t>Aktivnost 5c: Pregovaračka faza 2 - Službeno</w:t>
          <w:tab/>
          <w:t>13</w:t>
        </w:r>
      </w:hyperlink>
    </w:p>
    <w:p>
      <w:pPr>
        <w:pStyle w:val="Contents2"/>
        <w:tabs>
          <w:tab w:val="clear" w:pos="708"/>
          <w:tab w:val="right" w:pos="9292" w:leader="dot"/>
        </w:tabs>
        <w:rPr/>
      </w:pPr>
      <w:hyperlink w:anchor="__RefHeading___Toc1187_83980266821112">
        <w:r>
          <w:rPr/>
          <w:t>Pauza 10 minuta</w:t>
          <w:tab/>
          <w:t>14</w:t>
        </w:r>
      </w:hyperlink>
    </w:p>
    <w:p>
      <w:pPr>
        <w:pStyle w:val="Contents2"/>
        <w:tabs>
          <w:tab w:val="clear" w:pos="708"/>
          <w:tab w:val="right" w:pos="9292" w:leader="dot"/>
        </w:tabs>
        <w:rPr/>
      </w:pPr>
      <w:hyperlink w:anchor="__RefHeading___Toc1187_8398026682111">
        <w:r>
          <w:rPr/>
          <w:t>Aktivnost 5d: Glasovanje</w:t>
          <w:tab/>
          <w:t>14</w:t>
        </w:r>
      </w:hyperlink>
    </w:p>
    <w:p>
      <w:pPr>
        <w:pStyle w:val="Contents2"/>
        <w:tabs>
          <w:tab w:val="clear" w:pos="708"/>
          <w:tab w:val="right" w:pos="9292" w:leader="dot"/>
        </w:tabs>
        <w:rPr/>
      </w:pPr>
      <w:hyperlink w:anchor="__RefHeading___Toc1187_83980266821111">
        <w:r>
          <w:rPr/>
          <w:t>Aktivnost 6: Ispitivanje</w:t>
          <w:tab/>
          <w:t>15</w:t>
        </w:r>
      </w:hyperlink>
    </w:p>
    <w:p>
      <w:pPr>
        <w:pStyle w:val="Contents2"/>
        <w:tabs>
          <w:tab w:val="clear" w:pos="708"/>
          <w:tab w:val="right" w:pos="9292" w:leader="dot"/>
        </w:tabs>
        <w:rPr/>
      </w:pPr>
      <w:hyperlink w:anchor="__RefHeading___Toc1187_839802668211111">
        <w:r>
          <w:rPr/>
          <w:t>Aktivnost 7: Završetak i povratne informacije</w:t>
          <w:tab/>
          <w:t>16</w:t>
        </w:r>
      </w:hyperlink>
    </w:p>
    <w:p>
      <w:pPr>
        <w:pStyle w:val="Contents2"/>
        <w:tabs>
          <w:tab w:val="clear" w:pos="708"/>
          <w:tab w:val="right" w:pos="9292" w:leader="dot"/>
        </w:tabs>
        <w:rPr/>
      </w:pPr>
      <w:hyperlink w:anchor="__RefHeading___Toc1201_8398026681">
        <w:r>
          <w:rPr/>
          <w:t>Dodatak</w:t>
          <w:tab/>
          <w:t>17</w:t>
        </w:r>
      </w:hyperlink>
    </w:p>
    <w:p>
      <w:pPr>
        <w:pStyle w:val="Contents3"/>
        <w:tabs>
          <w:tab w:val="clear" w:pos="708"/>
          <w:tab w:val="right" w:pos="9512" w:leader="dot"/>
        </w:tabs>
        <w:rPr/>
      </w:pPr>
      <w:hyperlink w:anchor="__RefHeading___Toc1205_839802668">
        <w:r>
          <w:rPr/>
          <w:t>Dodatak 1: Karakteristike chata za on line moderiranje rasprava</w:t>
          <w:tab/>
          <w:t>17</w:t>
        </w:r>
      </w:hyperlink>
    </w:p>
    <w:p>
      <w:pPr>
        <w:pStyle w:val="Contents3"/>
        <w:tabs>
          <w:tab w:val="clear" w:pos="708"/>
          <w:tab w:val="right" w:pos="9512" w:leader="dot"/>
        </w:tabs>
        <w:rPr/>
      </w:pPr>
      <w:hyperlink w:anchor="__RefHeading___Toc1205_8398026681">
        <w:r>
          <w:rPr/>
          <w:t>Dodatak 2.: Dodatni materijali za pravednu tranziciju i utjecaj zračnog prometa na klimu</w:t>
          <w:tab/>
          <w:t>17</w:t>
        </w:r>
      </w:hyperlink>
    </w:p>
    <w:p>
      <w:pPr>
        <w:pStyle w:val="Contents3"/>
        <w:tabs>
          <w:tab w:val="clear" w:pos="708"/>
          <w:tab w:val="right" w:pos="9512" w:leader="dot"/>
        </w:tabs>
        <w:rPr/>
      </w:pPr>
      <w:hyperlink w:anchor="__RefHeading___Toc1205_83980266811">
        <w:r>
          <w:rPr/>
          <w:t>Dodatak 3: Pozadinska priča</w:t>
          <w:tab/>
          <w:t>18</w:t>
        </w:r>
      </w:hyperlink>
    </w:p>
    <w:p>
      <w:pPr>
        <w:pStyle w:val="Contents3"/>
        <w:tabs>
          <w:tab w:val="clear" w:pos="708"/>
          <w:tab w:val="right" w:pos="9512" w:leader="dot"/>
        </w:tabs>
        <w:rPr/>
      </w:pPr>
      <w:hyperlink w:anchor="__RefHeading___Toc1205_8398026682">
        <w:r>
          <w:rPr/>
          <w:t>Dodatak 4.: Predložak za konačnu izjavu</w:t>
          <w:tab/>
          <w:t>19</w:t>
        </w:r>
      </w:hyperlink>
    </w:p>
    <w:p>
      <w:pPr>
        <w:pStyle w:val="Normal"/>
        <w:numPr>
          <w:ilvl w:val="0"/>
          <w:numId w:val="0"/>
        </w:numPr>
        <w:ind w:left="720" w:hanging="0"/>
        <w:rPr/>
      </w:pPr>
      <w:r>
        <w:rPr/>
      </w:r>
    </w:p>
    <w:p>
      <w:pPr>
        <w:pStyle w:val="Normal"/>
        <w:numPr>
          <w:ilvl w:val="0"/>
          <w:numId w:val="0"/>
        </w:numPr>
        <w:ind w:left="720" w:hanging="0"/>
        <w:rPr/>
      </w:pPr>
      <w:r>
        <w:rPr/>
      </w:r>
    </w:p>
    <w:p>
      <w:pPr>
        <w:pStyle w:val="Normal"/>
        <w:numPr>
          <w:ilvl w:val="0"/>
          <w:numId w:val="0"/>
        </w:numPr>
        <w:ind w:left="720" w:hanging="0"/>
        <w:rPr/>
      </w:pPr>
      <w:r>
        <w:rPr/>
        <w:drawing>
          <wp:anchor behindDoc="0" distT="0" distB="0" distL="0" distR="0" simplePos="0" locked="0" layoutInCell="0" allowOverlap="1" relativeHeight="65">
            <wp:simplePos x="0" y="0"/>
            <wp:positionH relativeFrom="column">
              <wp:posOffset>488950</wp:posOffset>
            </wp:positionH>
            <wp:positionV relativeFrom="paragraph">
              <wp:posOffset>79375</wp:posOffset>
            </wp:positionV>
            <wp:extent cx="1689735" cy="593090"/>
            <wp:effectExtent l="0" t="0" r="0" b="0"/>
            <wp:wrapSquare wrapText="largest"/>
            <wp:docPr id="7"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5" descr=""/>
                    <pic:cNvPicPr>
                      <a:picLocks noChangeAspect="1" noChangeArrowheads="1"/>
                    </pic:cNvPicPr>
                  </pic:nvPicPr>
                  <pic:blipFill>
                    <a:blip r:embed="rId5"/>
                    <a:stretch>
                      <a:fillRect/>
                    </a:stretch>
                  </pic:blipFill>
                  <pic:spPr bwMode="auto">
                    <a:xfrm>
                      <a:off x="0" y="0"/>
                      <a:ext cx="1689735" cy="593090"/>
                    </a:xfrm>
                    <a:prstGeom prst="rect">
                      <a:avLst/>
                    </a:prstGeom>
                  </pic:spPr>
                </pic:pic>
              </a:graphicData>
            </a:graphic>
          </wp:anchor>
        </w:drawing>
      </w:r>
    </w:p>
    <w:p>
      <w:pPr>
        <w:pStyle w:val="Normal"/>
        <w:numPr>
          <w:ilvl w:val="0"/>
          <w:numId w:val="0"/>
        </w:numPr>
        <w:ind w:left="720" w:hanging="0"/>
        <w:rPr/>
      </w:pPr>
      <w:r>
        <w:rPr/>
      </w:r>
    </w:p>
    <w:p>
      <w:pPr>
        <w:pStyle w:val="Normal"/>
        <w:numPr>
          <w:ilvl w:val="0"/>
          <w:numId w:val="0"/>
        </w:numPr>
        <w:ind w:left="720" w:hanging="0"/>
        <w:rPr/>
      </w:pPr>
      <w:r>
        <w:rPr/>
      </w:r>
    </w:p>
    <w:p>
      <w:pPr>
        <w:pStyle w:val="Normal"/>
        <w:numPr>
          <w:ilvl w:val="0"/>
          <w:numId w:val="0"/>
        </w:numPr>
        <w:ind w:left="720" w:hanging="0"/>
        <w:rPr/>
      </w:pPr>
      <w:r>
        <w:rPr/>
        <w:t xml:space="preserve">Ovo djelo, čiji je autor KAUZ lab for climate justice, work and future, ustupljeno je pod licencom </w:t>
      </w:r>
      <w:hyperlink r:id="rId6">
        <w:r>
          <w:rPr>
            <w:rStyle w:val="Internetverknpfung"/>
          </w:rPr>
          <w:t>Creative Commons Imenovanje-Dijeli pod istim uvjetima 4.0 međunarodna</w:t>
        </w:r>
      </w:hyperlink>
      <w:r>
        <w:rPr/>
        <w:t xml:space="preserve">. </w:t>
      </w:r>
      <w:r>
        <w:br w:type="page"/>
      </w:r>
    </w:p>
    <w:p>
      <w:pPr>
        <w:pStyle w:val="Berschrift1"/>
        <w:numPr>
          <w:ilvl w:val="0"/>
          <w:numId w:val="0"/>
        </w:numPr>
        <w:rPr/>
      </w:pPr>
      <w:r>
        <w:rPr/>
        <w:t>Činjenice</w:t>
      </w:r>
    </w:p>
    <w:p>
      <w:pPr>
        <w:pStyle w:val="Normal"/>
        <w:rPr/>
      </w:pPr>
      <w:r>
        <w:rPr/>
        <w:br/>
        <w:t>Trajanje: najmanje 180 minuta</w:t>
        <w:br/>
        <w:t>idealan broj sudionika: 12-18</w:t>
        <w:br/>
        <w:t>i online i osobno je moguće</w:t>
        <w:br/>
      </w:r>
    </w:p>
    <w:p>
      <w:pPr>
        <w:pStyle w:val="Berschrift1"/>
        <w:numPr>
          <w:ilvl w:val="0"/>
          <w:numId w:val="0"/>
        </w:numPr>
        <w:rPr/>
      </w:pPr>
      <w:r>
        <w:rPr/>
        <w:t>Kratki opis radionice</w:t>
      </w:r>
    </w:p>
    <w:p>
      <w:pPr>
        <w:pStyle w:val="Normal"/>
        <w:rPr/>
      </w:pPr>
      <w:r>
        <w:rPr/>
      </w:r>
    </w:p>
    <w:p>
      <w:pPr>
        <w:pStyle w:val="Textbody"/>
        <w:jc w:val="both"/>
        <w:rPr>
          <w:color w:val="000000"/>
        </w:rPr>
      </w:pPr>
      <w:r>
        <w:rPr>
          <w:color w:val="000000"/>
        </w:rPr>
        <w:t>Klimatska kriza nerazdvojno je povezana s ključnim društvenim pitanjima budućnosti. Ipak, socijalna pravda i okoliš opetovano se suprotstavljaju jedni drugima - s tim da oboje gube. Koncept "Pravedne tranzicije", koji su u početku razvili sindikati, navodi da se restrukturiranje gospodarstva mora oblikovati demokratski, a ne provoditi na leđima zaposlenika i socijalno ugroženih. Na temelju primjera zrakoplovne industrije koristimo ovu simulacijsku igru kako bismo pokazali na koji način bi se takav proces mogao osmisliti. Sudionici preuzimaju različite uloge od politike, industrije, sindikata i civilnog društva. Kroz igru, sudionici u cilju postizanja konsenzusa oko svog položaja na društveno pravednom putu za dekonstrukciju zračne luke prolaze kroz nekoliko krugova pregovora. Nakon igranja, sudionici razmišljaju o igri, što dovodi do dubljeg razumijevanja različitih pozicija, dinamike u igri i uvida u postizanje pravedne tranzicije.</w:t>
      </w:r>
    </w:p>
    <w:p>
      <w:pPr>
        <w:pStyle w:val="Berschrift1"/>
        <w:numPr>
          <w:ilvl w:val="0"/>
          <w:numId w:val="0"/>
        </w:numPr>
        <w:rPr/>
      </w:pPr>
      <w:r>
        <w:rPr/>
        <w:t>Ciljevi radionice</w:t>
      </w:r>
    </w:p>
    <w:p>
      <w:pPr>
        <w:pStyle w:val="Normal"/>
        <w:spacing w:lineRule="auto" w:line="276"/>
        <w:jc w:val="both"/>
        <w:rPr/>
      </w:pPr>
      <w:r>
        <w:rPr/>
      </w:r>
    </w:p>
    <w:p>
      <w:pPr>
        <w:pStyle w:val="Textbody"/>
        <w:numPr>
          <w:ilvl w:val="0"/>
          <w:numId w:val="20"/>
        </w:numPr>
        <w:jc w:val="both"/>
        <w:rPr>
          <w:color w:val="000000"/>
        </w:rPr>
      </w:pPr>
      <w:r>
        <w:rPr>
          <w:color w:val="000000"/>
        </w:rPr>
        <w:t>Iskusiti složenost i različite perspektive transformacija potrebnih za naše gospodarstvo i naš prometni sustav postizanjem socijalno-pravednih putova transformacije sada i u budućnosti</w:t>
      </w:r>
    </w:p>
    <w:p>
      <w:pPr>
        <w:pStyle w:val="Textbody"/>
        <w:numPr>
          <w:ilvl w:val="0"/>
          <w:numId w:val="21"/>
        </w:numPr>
        <w:spacing w:lineRule="auto" w:line="331" w:before="0" w:after="0"/>
        <w:rPr>
          <w:color w:val="000000"/>
        </w:rPr>
      </w:pPr>
      <w:r>
        <w:rPr>
          <w:color w:val="000000"/>
        </w:rPr>
        <w:t>Pribaviti osnovne informacije o ključnim činjenicama i akterima uključenima u pravednu tranziciju zrakoplovne industrije</w:t>
      </w:r>
    </w:p>
    <w:p>
      <w:pPr>
        <w:pStyle w:val="Berschrift1"/>
        <w:numPr>
          <w:ilvl w:val="0"/>
          <w:numId w:val="0"/>
        </w:numPr>
        <w:rPr/>
      </w:pPr>
      <w:r>
        <w:rPr/>
        <w:t>Ciljna skupina</w:t>
      </w:r>
    </w:p>
    <w:p>
      <w:pPr>
        <w:pStyle w:val="Normal"/>
        <w:spacing w:lineRule="auto" w:line="276"/>
        <w:rPr/>
      </w:pPr>
      <w:r>
        <w:rPr/>
        <w:br/>
      </w:r>
      <w:r>
        <w:rPr>
          <w:color w:val="000000"/>
        </w:rPr>
        <w:t>Radionica je razvijena za široku publiku od  16. godine naviše. Nije potrebno posebno prethodno znanje. Simulacija je pogodna za prenošenje polazišta za 'Pravednu tranziciju' kako ljudima koji su suočeni s tom temom u svom stvarnom radu, tako i onima koji s njom nemaju prethodnog iskustva. Međutim, igra bi mogla biti zahtjevna za potonje jer je tema prilično složena.</w:t>
      </w:r>
    </w:p>
    <w:p>
      <w:pPr>
        <w:pStyle w:val="Normal"/>
        <w:spacing w:lineRule="auto" w:line="276"/>
        <w:rPr>
          <w:rFonts w:ascii="Compiler Plain Black" w:hAnsi="Compiler Plain Black" w:eastAsia="Calibri" w:cs="Tahoma"/>
          <w:b/>
          <w:b/>
          <w:bCs/>
          <w:color w:val="F15621"/>
          <w:sz w:val="32"/>
          <w:szCs w:val="63"/>
          <w:lang w:val="en-GB"/>
        </w:rPr>
      </w:pPr>
      <w:r>
        <w:rPr>
          <w:rFonts w:eastAsia="Calibri" w:cs="Tahoma" w:ascii="Compiler Plain Black" w:hAnsi="Compiler Plain Black"/>
          <w:b/>
          <w:bCs/>
          <w:color w:val="F15621"/>
          <w:sz w:val="32"/>
          <w:szCs w:val="63"/>
          <w:lang w:val="en-GB"/>
        </w:rPr>
        <w:t>Opće napomene o provođenju:</w:t>
      </w:r>
    </w:p>
    <w:p>
      <w:pPr>
        <w:pStyle w:val="Normal"/>
        <w:spacing w:lineRule="auto" w:line="276"/>
        <w:rPr/>
      </w:pPr>
      <w:r>
        <w:rPr/>
        <w:t>Ako je moguće, olakšajte igru u timu od dvije osobe. Tim od dvoje olakšava moderiranje jer moderator igra dvije različite uloge tijekom igre.</w:t>
      </w:r>
    </w:p>
    <w:p>
      <w:pPr>
        <w:pStyle w:val="Normal"/>
        <w:spacing w:lineRule="auto" w:line="276"/>
        <w:rPr/>
      </w:pPr>
      <w:r>
        <w:rPr>
          <w:color w:val="000000"/>
        </w:rPr>
        <w:t>Treba napomenuti da je 3 sata minimalna duljina radionice. Možda bi bilo dobro produljiti trajanje radionice. Ako imate samo 3 sata, pridržavanje rasporeda pauze što je više moguće pomaže u održavanju dobre atmosfere za igranje igre.</w:t>
      </w:r>
    </w:p>
    <w:p>
      <w:pPr>
        <w:pStyle w:val="Berschrift1"/>
        <w:numPr>
          <w:ilvl w:val="0"/>
          <w:numId w:val="0"/>
        </w:numPr>
        <w:rPr/>
      </w:pPr>
      <w:r>
        <w:rPr/>
        <w:t>Pregled radionice</w:t>
        <w:br/>
      </w:r>
    </w:p>
    <w:tbl>
      <w:tblPr>
        <w:tblW w:w="10757" w:type="dxa"/>
        <w:jc w:val="left"/>
        <w:tblInd w:w="-701" w:type="dxa"/>
        <w:tblLayout w:type="fixed"/>
        <w:tblCellMar>
          <w:top w:w="15" w:type="dxa"/>
          <w:left w:w="15" w:type="dxa"/>
          <w:bottom w:w="15" w:type="dxa"/>
          <w:right w:w="15" w:type="dxa"/>
        </w:tblCellMar>
        <w:tblLook w:firstRow="0" w:noVBand="0" w:lastRow="0" w:firstColumn="0" w:lastColumn="0" w:noHBand="0" w:val="0000"/>
      </w:tblPr>
      <w:tblGrid>
        <w:gridCol w:w="568"/>
        <w:gridCol w:w="453"/>
        <w:gridCol w:w="1811"/>
        <w:gridCol w:w="5954"/>
        <w:gridCol w:w="1971"/>
      </w:tblGrid>
      <w:tr>
        <w:trPr>
          <w:trHeight w:val="450" w:hRule="atLeast"/>
        </w:trPr>
        <w:tc>
          <w:tcPr>
            <w:tcW w:w="568"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Vrijeme</w:t>
            </w:r>
          </w:p>
        </w:tc>
        <w:tc>
          <w:tcPr>
            <w:tcW w:w="2264" w:type="dxa"/>
            <w:gridSpan w:val="2"/>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Naziv aktivnosti</w:t>
            </w:r>
          </w:p>
        </w:tc>
        <w:tc>
          <w:tcPr>
            <w:tcW w:w="5954"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Opis aktivnosti</w:t>
            </w:r>
          </w:p>
        </w:tc>
        <w:tc>
          <w:tcPr>
            <w:tcW w:w="1971"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Metoda</w:t>
            </w:r>
          </w:p>
        </w:tc>
      </w:tr>
      <w:tr>
        <w:trPr>
          <w:trHeight w:val="1200" w:hRule="atLeast"/>
        </w:trPr>
        <w:tc>
          <w:tcPr>
            <w:tcW w:w="568"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15'</w:t>
            </w:r>
          </w:p>
        </w:tc>
        <w:tc>
          <w:tcPr>
            <w:tcW w:w="453"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1</w:t>
            </w:r>
          </w:p>
        </w:tc>
        <w:tc>
          <w:tcPr>
            <w:tcW w:w="1811"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Dobrodošlica i organizacijska pitanja</w:t>
            </w:r>
          </w:p>
        </w:tc>
        <w:tc>
          <w:tcPr>
            <w:tcW w:w="5954"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color w:val="000000"/>
                <w:sz w:val="20"/>
                <w:szCs w:val="20"/>
              </w:rPr>
            </w:pPr>
            <w:r>
              <w:rPr>
                <w:color w:val="000000"/>
                <w:sz w:val="20"/>
                <w:szCs w:val="20"/>
              </w:rPr>
              <w:t>Na početku radionice važno je planirati dovoljno vremena za opušteni dolazak i dobrodošlicu polaznika. Nakon toga, vi (trener radionice) možete razgovarati o potrebnim organizacijskim pitanjima.</w:t>
            </w:r>
          </w:p>
        </w:tc>
        <w:tc>
          <w:tcPr>
            <w:tcW w:w="1971"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w:t>
            </w:r>
          </w:p>
        </w:tc>
      </w:tr>
      <w:tr>
        <w:trPr>
          <w:trHeight w:val="1099" w:hRule="atLeast"/>
        </w:trPr>
        <w:tc>
          <w:tcPr>
            <w:tcW w:w="568"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15'</w:t>
            </w:r>
          </w:p>
        </w:tc>
        <w:tc>
          <w:tcPr>
            <w:tcW w:w="453"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2</w:t>
            </w:r>
          </w:p>
        </w:tc>
        <w:tc>
          <w:tcPr>
            <w:tcW w:w="1811" w:type="dxa"/>
            <w:tcBorders>
              <w:top w:val="single" w:sz="8" w:space="0" w:color="000000"/>
              <w:left w:val="single" w:sz="8" w:space="0" w:color="000000"/>
              <w:bottom w:val="single" w:sz="8" w:space="0" w:color="000000"/>
              <w:right w:val="single" w:sz="8" w:space="0" w:color="000000"/>
            </w:tcBorders>
            <w:shd w:color="auto" w:fill="auto" w:val="clear"/>
            <w:tcMar>
              <w:top w:w="55" w:type="dxa"/>
              <w:left w:w="55" w:type="dxa"/>
              <w:bottom w:w="55" w:type="dxa"/>
              <w:right w:w="55" w:type="dxa"/>
            </w:tcMar>
          </w:tcPr>
          <w:p>
            <w:pPr>
              <w:pStyle w:val="Normal"/>
              <w:widowControl w:val="false"/>
              <w:spacing w:lineRule="auto" w:line="276" w:before="0" w:after="160"/>
              <w:rPr/>
            </w:pPr>
            <w:r>
              <w:rPr>
                <w:sz w:val="20"/>
                <w:szCs w:val="20"/>
              </w:rPr>
              <w:t>Uvod u sadržaj</w:t>
            </w:r>
          </w:p>
        </w:tc>
        <w:tc>
          <w:tcPr>
            <w:tcW w:w="5954" w:type="dxa"/>
            <w:tcBorders>
              <w:top w:val="single" w:sz="8" w:space="0" w:color="000000"/>
              <w:left w:val="single" w:sz="8" w:space="0" w:color="000000"/>
              <w:bottom w:val="single" w:sz="8" w:space="0" w:color="000000"/>
              <w:right w:val="single" w:sz="8" w:space="0" w:color="000000"/>
            </w:tcBorders>
            <w:shd w:color="auto" w:fill="auto" w:val="clear"/>
            <w:tcMar>
              <w:top w:w="55" w:type="dxa"/>
              <w:left w:w="55" w:type="dxa"/>
              <w:bottom w:w="55" w:type="dxa"/>
              <w:right w:w="55" w:type="dxa"/>
            </w:tcMar>
          </w:tcPr>
          <w:p>
            <w:pPr>
              <w:pStyle w:val="NormalWeb"/>
              <w:widowControl w:val="false"/>
              <w:spacing w:lineRule="auto" w:line="276" w:before="240" w:after="0"/>
              <w:rPr>
                <w:rFonts w:ascii="Nunito" w:hAnsi="Nunito"/>
                <w:color w:val="000000"/>
                <w:sz w:val="20"/>
                <w:szCs w:val="20"/>
                <w:lang w:val="en-GB"/>
              </w:rPr>
            </w:pPr>
            <w:r>
              <w:rPr>
                <w:rFonts w:ascii="Nunito" w:hAnsi="Nunito"/>
                <w:color w:val="000000"/>
                <w:sz w:val="20"/>
                <w:szCs w:val="20"/>
                <w:lang w:val="en-GB"/>
              </w:rPr>
              <w:t>Kroz kratki video uvoda učimo o konceptu pravedne tranzicije, njegovim temeljnim idejama i kako bi mogao izgledati u području zrakoplovstva.</w:t>
            </w:r>
          </w:p>
        </w:tc>
        <w:tc>
          <w:tcPr>
            <w:tcW w:w="1971" w:type="dxa"/>
            <w:tcBorders>
              <w:top w:val="single" w:sz="8" w:space="0" w:color="000000"/>
              <w:left w:val="single" w:sz="8" w:space="0" w:color="000000"/>
              <w:bottom w:val="single" w:sz="8" w:space="0" w:color="000000"/>
              <w:right w:val="single" w:sz="8" w:space="0" w:color="000000"/>
            </w:tcBorders>
            <w:shd w:color="auto" w:fill="auto" w:val="clear"/>
            <w:tcMar>
              <w:top w:w="55" w:type="dxa"/>
              <w:left w:w="55" w:type="dxa"/>
              <w:bottom w:w="55" w:type="dxa"/>
              <w:right w:w="55" w:type="dxa"/>
            </w:tcMar>
          </w:tcPr>
          <w:p>
            <w:pPr>
              <w:pStyle w:val="Normal"/>
              <w:widowControl w:val="false"/>
              <w:spacing w:lineRule="auto" w:line="276"/>
              <w:jc w:val="center"/>
              <w:rPr>
                <w:sz w:val="20"/>
                <w:szCs w:val="20"/>
              </w:rPr>
            </w:pPr>
            <w:r>
              <w:rPr>
                <w:sz w:val="20"/>
                <w:szCs w:val="20"/>
              </w:rPr>
              <w:t xml:space="preserve"> </w:t>
            </w:r>
            <w:r>
              <w:rPr>
                <w:sz w:val="20"/>
                <w:szCs w:val="20"/>
              </w:rPr>
              <w:t>Video</w:t>
            </w:r>
          </w:p>
          <w:p>
            <w:pPr>
              <w:pStyle w:val="Normal"/>
              <w:widowControl w:val="false"/>
              <w:spacing w:lineRule="auto" w:line="276" w:before="0" w:after="160"/>
              <w:jc w:val="center"/>
              <w:rPr>
                <w:sz w:val="20"/>
                <w:szCs w:val="20"/>
              </w:rPr>
            </w:pPr>
            <w:r>
              <w:rPr>
                <w:sz w:val="20"/>
                <w:szCs w:val="20"/>
              </w:rPr>
            </w:r>
          </w:p>
        </w:tc>
      </w:tr>
      <w:tr>
        <w:trPr>
          <w:trHeight w:val="1221" w:hRule="atLeast"/>
        </w:trPr>
        <w:tc>
          <w:tcPr>
            <w:tcW w:w="568"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15'</w:t>
            </w:r>
          </w:p>
        </w:tc>
        <w:tc>
          <w:tcPr>
            <w:tcW w:w="453"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3</w:t>
            </w:r>
          </w:p>
        </w:tc>
        <w:tc>
          <w:tcPr>
            <w:tcW w:w="1811"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Uvod u simulacijsku igru</w:t>
            </w:r>
          </w:p>
        </w:tc>
        <w:tc>
          <w:tcPr>
            <w:tcW w:w="5954"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Web"/>
              <w:widowControl w:val="false"/>
              <w:spacing w:lineRule="auto" w:line="276" w:before="240" w:after="0"/>
              <w:rPr>
                <w:rFonts w:ascii="Quincy CF" w:hAnsi="Quincy CF" w:eastAsia="Calibri"/>
                <w:color w:val="000000"/>
                <w:sz w:val="20"/>
                <w:szCs w:val="20"/>
                <w:lang w:val="hr-HR" w:eastAsia="en-US"/>
              </w:rPr>
            </w:pPr>
            <w:r>
              <w:rPr>
                <w:rFonts w:eastAsia="Calibri" w:ascii="Quincy CF" w:hAnsi="Quincy CF"/>
                <w:color w:val="000000"/>
                <w:sz w:val="20"/>
                <w:szCs w:val="20"/>
                <w:lang w:val="hr-HR" w:eastAsia="en-US"/>
              </w:rPr>
              <w:t>Učimo o strukturi i slijedu aktivnosti kao i pravilima ove simulacijske igre. Nadalje, upoznajemo se s općom idejom simulacijskih igara. Konačno, odlučujemo tko će igrati koju ulogu.</w:t>
            </w:r>
          </w:p>
        </w:tc>
        <w:tc>
          <w:tcPr>
            <w:tcW w:w="1971" w:type="dxa"/>
            <w:tcBorders>
              <w:top w:val="single" w:sz="8" w:space="0" w:color="000000"/>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Slajdovi/ flipcharts</w:t>
            </w:r>
          </w:p>
        </w:tc>
      </w:tr>
      <w:tr>
        <w:trPr>
          <w:trHeight w:val="420" w:hRule="atLeast"/>
        </w:trPr>
        <w:tc>
          <w:tcPr>
            <w:tcW w:w="568"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25'</w:t>
            </w:r>
          </w:p>
        </w:tc>
        <w:tc>
          <w:tcPr>
            <w:tcW w:w="453"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4</w:t>
            </w:r>
          </w:p>
        </w:tc>
        <w:tc>
          <w:tcPr>
            <w:tcW w:w="181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Pokretanje igre</w:t>
            </w:r>
          </w:p>
        </w:tc>
        <w:tc>
          <w:tcPr>
            <w:tcW w:w="5954"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rFonts w:eastAsia="Times New Roman" w:cs="Times New Roman" w:ascii="Nunito" w:hAnsi="Nunito"/>
                <w:color w:val="000000"/>
                <w:sz w:val="20"/>
                <w:szCs w:val="20"/>
                <w:lang w:val="en-GB" w:eastAsia="de-AT"/>
              </w:rPr>
              <w:t>Upoznajemo se s pozadinskom pričom i materijalom predviđenim za ulogu. Svaki tim sudionika priprema uvodnu riječ.</w:t>
            </w:r>
          </w:p>
        </w:tc>
        <w:tc>
          <w:tcPr>
            <w:tcW w:w="197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U malim grupama (2-3 osobe/uloga)</w:t>
            </w:r>
          </w:p>
        </w:tc>
      </w:tr>
      <w:tr>
        <w:trPr>
          <w:trHeight w:val="420" w:hRule="atLeast"/>
        </w:trPr>
        <w:tc>
          <w:tcPr>
            <w:tcW w:w="568"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5'</w:t>
            </w:r>
          </w:p>
        </w:tc>
        <w:tc>
          <w:tcPr>
            <w:tcW w:w="10189" w:type="dxa"/>
            <w:gridSpan w:val="4"/>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Pauza</w:t>
            </w:r>
          </w:p>
        </w:tc>
      </w:tr>
      <w:tr>
        <w:trPr>
          <w:trHeight w:val="420" w:hRule="atLeast"/>
        </w:trPr>
        <w:tc>
          <w:tcPr>
            <w:tcW w:w="568"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10'</w:t>
            </w:r>
          </w:p>
        </w:tc>
        <w:tc>
          <w:tcPr>
            <w:tcW w:w="453"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5a</w:t>
            </w:r>
          </w:p>
        </w:tc>
        <w:tc>
          <w:tcPr>
            <w:tcW w:w="181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Uvodni krug</w:t>
            </w:r>
          </w:p>
        </w:tc>
        <w:tc>
          <w:tcPr>
            <w:tcW w:w="5954"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0"/>
              <w:rPr>
                <w:rFonts w:ascii="Nunito" w:hAnsi="Nunito" w:eastAsia="Times New Roman" w:cs="Times New Roman"/>
                <w:color w:val="000000"/>
                <w:sz w:val="20"/>
                <w:szCs w:val="20"/>
                <w:lang w:val="en-GB" w:eastAsia="de-AT"/>
              </w:rPr>
            </w:pPr>
            <w:r>
              <w:rPr>
                <w:rFonts w:eastAsia="Times New Roman" w:cs="Times New Roman" w:ascii="Nunito" w:hAnsi="Nunito"/>
                <w:color w:val="000000"/>
                <w:sz w:val="20"/>
                <w:szCs w:val="20"/>
                <w:lang w:val="en-GB" w:eastAsia="de-AT"/>
              </w:rPr>
              <w:t>Svaki tim sudionika daje prvu izjavu o svojem stajalištu u vezi s demontažom zračne luke u Landingtonu.</w:t>
            </w:r>
          </w:p>
        </w:tc>
        <w:tc>
          <w:tcPr>
            <w:tcW w:w="197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Plenarni</w:t>
            </w:r>
          </w:p>
        </w:tc>
      </w:tr>
      <w:tr>
        <w:trPr>
          <w:trHeight w:val="420" w:hRule="atLeast"/>
        </w:trPr>
        <w:tc>
          <w:tcPr>
            <w:tcW w:w="568"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25'</w:t>
            </w:r>
          </w:p>
        </w:tc>
        <w:tc>
          <w:tcPr>
            <w:tcW w:w="453"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5b</w:t>
            </w:r>
          </w:p>
        </w:tc>
        <w:tc>
          <w:tcPr>
            <w:tcW w:w="181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1. faza pregovora: bilateralna</w:t>
            </w:r>
          </w:p>
        </w:tc>
        <w:tc>
          <w:tcPr>
            <w:tcW w:w="5954"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Sudionici počinju međusobno pregovarati na temelju uvodne riječi slobodnim kretanjem između stolova.</w:t>
            </w:r>
          </w:p>
        </w:tc>
        <w:tc>
          <w:tcPr>
            <w:tcW w:w="197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Nestrukturirani pregovori</w:t>
            </w:r>
          </w:p>
        </w:tc>
      </w:tr>
      <w:tr>
        <w:trPr>
          <w:trHeight w:val="420" w:hRule="atLeast"/>
        </w:trPr>
        <w:tc>
          <w:tcPr>
            <w:tcW w:w="568"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20'</w:t>
            </w:r>
          </w:p>
        </w:tc>
        <w:tc>
          <w:tcPr>
            <w:tcW w:w="453"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5c</w:t>
            </w:r>
          </w:p>
        </w:tc>
        <w:tc>
          <w:tcPr>
            <w:tcW w:w="181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rPr/>
            </w:pPr>
            <w:r>
              <w:rPr>
                <w:sz w:val="20"/>
                <w:szCs w:val="20"/>
              </w:rPr>
              <w:t>Faza pregovora 2: službeno</w:t>
            </w:r>
          </w:p>
        </w:tc>
        <w:tc>
          <w:tcPr>
            <w:tcW w:w="5954"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Drugi dio pregovora je plenarna rasprava. Tijekom ove faze igrači mogu prilagoditi svoje početne izjave.</w:t>
            </w:r>
          </w:p>
        </w:tc>
        <w:tc>
          <w:tcPr>
            <w:tcW w:w="197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jc w:val="center"/>
              <w:rPr/>
            </w:pPr>
            <w:r>
              <w:rPr>
                <w:sz w:val="20"/>
                <w:szCs w:val="20"/>
              </w:rPr>
              <w:t>Plenarna rasprava</w:t>
            </w:r>
          </w:p>
        </w:tc>
      </w:tr>
      <w:tr>
        <w:trPr>
          <w:trHeight w:val="420" w:hRule="atLeast"/>
        </w:trPr>
        <w:tc>
          <w:tcPr>
            <w:tcW w:w="568" w:type="dxa"/>
            <w:tcBorders>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10'</w:t>
            </w:r>
          </w:p>
        </w:tc>
        <w:tc>
          <w:tcPr>
            <w:tcW w:w="10189" w:type="dxa"/>
            <w:gridSpan w:val="4"/>
            <w:tcBorders>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Pauza (tijekom pauze moderator priprema prijedlog)</w:t>
            </w:r>
          </w:p>
        </w:tc>
      </w:tr>
      <w:tr>
        <w:trPr/>
        <w:tc>
          <w:tcPr>
            <w:tcW w:w="568"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10'</w:t>
            </w:r>
          </w:p>
        </w:tc>
        <w:tc>
          <w:tcPr>
            <w:tcW w:w="453" w:type="dxa"/>
            <w:tcBorders>
              <w:top w:val="single" w:sz="8" w:space="0" w:color="000000"/>
              <w:left w:val="single" w:sz="8" w:space="0" w:color="000000"/>
              <w:bottom w:val="single" w:sz="8" w:space="0" w:color="000000"/>
              <w:right w:val="single" w:sz="8" w:space="0" w:color="000000"/>
            </w:tcBorders>
            <w:shd w:color="auto" w:fill="EEEEEE" w:val="clear"/>
          </w:tcPr>
          <w:p>
            <w:pPr>
              <w:pStyle w:val="Normal"/>
              <w:widowControl w:val="false"/>
              <w:spacing w:lineRule="auto" w:line="276" w:before="0" w:after="160"/>
              <w:jc w:val="center"/>
              <w:rPr>
                <w:sz w:val="20"/>
                <w:szCs w:val="20"/>
              </w:rPr>
            </w:pPr>
            <w:r>
              <w:rPr>
                <w:sz w:val="20"/>
                <w:szCs w:val="20"/>
              </w:rPr>
              <w:t>5d</w:t>
            </w:r>
          </w:p>
        </w:tc>
        <w:tc>
          <w:tcPr>
            <w:tcW w:w="181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Glasanje // Kraj simulacijske igre</w:t>
            </w:r>
          </w:p>
        </w:tc>
        <w:tc>
          <w:tcPr>
            <w:tcW w:w="5954"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Sudionici glasaju za ili protiv prijedloga konačnih preporuka prijelaznog povjerenstva.</w:t>
            </w:r>
          </w:p>
        </w:tc>
        <w:tc>
          <w:tcPr>
            <w:tcW w:w="1971" w:type="dxa"/>
            <w:tcBorders>
              <w:top w:val="single" w:sz="8" w:space="0" w:color="000000"/>
              <w:left w:val="single" w:sz="8" w:space="0" w:color="000000"/>
              <w:bottom w:val="single" w:sz="8" w:space="0" w:color="000000"/>
              <w:right w:val="single" w:sz="8" w:space="0" w:color="000000"/>
            </w:tcBorders>
            <w:shd w:color="auto" w:fill="EEEEEE"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Plenarni</w:t>
            </w:r>
          </w:p>
        </w:tc>
      </w:tr>
      <w:tr>
        <w:trPr/>
        <w:tc>
          <w:tcPr>
            <w:tcW w:w="568"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25'</w:t>
            </w:r>
          </w:p>
        </w:tc>
        <w:tc>
          <w:tcPr>
            <w:tcW w:w="453"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6</w:t>
            </w:r>
          </w:p>
        </w:tc>
        <w:tc>
          <w:tcPr>
            <w:tcW w:w="181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Ispitivanje</w:t>
            </w:r>
          </w:p>
        </w:tc>
        <w:tc>
          <w:tcPr>
            <w:tcW w:w="5954"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Ispitivanje se sastoji od dva osnovna koraka. Prvo, sudionici opisuju i razmišljaju o svojim iskustvima i zapažanjima. Drugo, procjenjujemo ta iskustva i tražimo uvide koji se mogu generalizirati i premostiti iskustva simulacijske igre u stvarni svijet.</w:t>
            </w:r>
          </w:p>
        </w:tc>
        <w:tc>
          <w:tcPr>
            <w:tcW w:w="197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Pojedinačno razmjena u malim skupinama i plenarna rasprava</w:t>
            </w:r>
          </w:p>
        </w:tc>
      </w:tr>
      <w:tr>
        <w:trPr/>
        <w:tc>
          <w:tcPr>
            <w:tcW w:w="568"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5'</w:t>
            </w:r>
          </w:p>
        </w:tc>
        <w:tc>
          <w:tcPr>
            <w:tcW w:w="453" w:type="dxa"/>
            <w:tcBorders>
              <w:left w:val="single" w:sz="8" w:space="0" w:color="000000"/>
              <w:bottom w:val="single" w:sz="8" w:space="0" w:color="000000"/>
              <w:right w:val="single" w:sz="8" w:space="0" w:color="000000"/>
            </w:tcBorders>
            <w:shd w:color="auto" w:fill="auto" w:val="clear"/>
          </w:tcPr>
          <w:p>
            <w:pPr>
              <w:pStyle w:val="Normal"/>
              <w:widowControl w:val="false"/>
              <w:spacing w:lineRule="auto" w:line="276" w:before="0" w:after="160"/>
              <w:jc w:val="center"/>
              <w:rPr>
                <w:sz w:val="20"/>
                <w:szCs w:val="20"/>
              </w:rPr>
            </w:pPr>
            <w:r>
              <w:rPr>
                <w:sz w:val="20"/>
                <w:szCs w:val="20"/>
              </w:rPr>
              <w:t>7</w:t>
            </w:r>
          </w:p>
        </w:tc>
        <w:tc>
          <w:tcPr>
            <w:tcW w:w="181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rPr>
                <w:sz w:val="20"/>
                <w:szCs w:val="20"/>
              </w:rPr>
            </w:pPr>
            <w:r>
              <w:rPr>
                <w:sz w:val="20"/>
                <w:szCs w:val="20"/>
              </w:rPr>
              <w:t>Odjava i povratne informacije</w:t>
            </w:r>
          </w:p>
        </w:tc>
        <w:tc>
          <w:tcPr>
            <w:tcW w:w="5954"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40" w:before="0" w:after="0"/>
              <w:rPr>
                <w:color w:val="000000"/>
                <w:sz w:val="20"/>
                <w:szCs w:val="20"/>
              </w:rPr>
            </w:pPr>
            <w:r>
              <w:rPr>
                <w:color w:val="000000"/>
                <w:sz w:val="20"/>
                <w:szCs w:val="20"/>
              </w:rPr>
              <w:t>Završni krug završava radionicu i tu je već  prva povratna informacija o tome kako je radionica prošla. Osim toga, treba dati vremena za anonimne, pisane povratne informacije.</w:t>
            </w:r>
          </w:p>
        </w:tc>
        <w:tc>
          <w:tcPr>
            <w:tcW w:w="1971" w:type="dxa"/>
            <w:tcBorders>
              <w:left w:val="single" w:sz="8" w:space="0" w:color="000000"/>
              <w:bottom w:val="single" w:sz="8" w:space="0" w:color="000000"/>
              <w:right w:val="single" w:sz="8" w:space="0" w:color="000000"/>
            </w:tcBorders>
            <w:shd w:color="auto" w:fill="auto" w:val="clear"/>
            <w:tcMar>
              <w:top w:w="100" w:type="dxa"/>
              <w:left w:w="100" w:type="dxa"/>
              <w:bottom w:w="100" w:type="dxa"/>
              <w:right w:w="100" w:type="dxa"/>
            </w:tcMar>
          </w:tcPr>
          <w:p>
            <w:pPr>
              <w:pStyle w:val="Normal"/>
              <w:widowControl w:val="false"/>
              <w:spacing w:lineRule="auto" w:line="276" w:before="0" w:after="160"/>
              <w:jc w:val="center"/>
              <w:rPr>
                <w:sz w:val="20"/>
                <w:szCs w:val="20"/>
              </w:rPr>
            </w:pPr>
            <w:r>
              <w:rPr>
                <w:sz w:val="20"/>
                <w:szCs w:val="20"/>
              </w:rPr>
              <w:t>Plenarna sjednica / Pojedinačne povratne informacije</w:t>
            </w:r>
          </w:p>
        </w:tc>
      </w:tr>
    </w:tbl>
    <w:p>
      <w:pPr>
        <w:pStyle w:val="Normal"/>
        <w:rPr>
          <w:rFonts w:ascii="Compiler Plain Medium" w:hAnsi="Compiler Plain Medium" w:eastAsia="Calibri" w:cs="Tahoma"/>
          <w:color w:val="F15621"/>
          <w:sz w:val="28"/>
          <w:szCs w:val="26"/>
        </w:rPr>
      </w:pPr>
      <w:r>
        <w:rPr/>
      </w:r>
    </w:p>
    <w:p>
      <w:pPr>
        <w:pStyle w:val="Normal"/>
        <w:rPr/>
      </w:pPr>
      <w:r>
        <w:rPr>
          <w:rFonts w:eastAsia="Calibri" w:cs="Tahoma" w:ascii="Compiler Plain Medium" w:hAnsi="Compiler Plain Medium"/>
          <w:color w:val="F15621"/>
          <w:sz w:val="28"/>
          <w:szCs w:val="26"/>
        </w:rPr>
        <w:t>Pregled materijala</w:t>
      </w:r>
      <w:r>
        <w:rPr/>
        <w:br/>
      </w:r>
    </w:p>
    <w:p>
      <w:pPr>
        <w:pStyle w:val="Normal"/>
        <w:rPr/>
      </w:pPr>
      <w:r>
        <w:rPr/>
        <w:t>(bez materijala koji je uključen u vodič za ispis)</w:t>
      </w:r>
    </w:p>
    <w:tbl>
      <w:tblPr>
        <w:tblW w:w="7221"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2946"/>
        <w:gridCol w:w="1642"/>
        <w:gridCol w:w="2633"/>
      </w:tblGrid>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b/>
                <w:b/>
                <w:bCs/>
                <w:color w:val="000000"/>
              </w:rPr>
            </w:pPr>
            <w:r>
              <w:rPr>
                <w:rFonts w:eastAsia="Calibri"/>
                <w:b/>
                <w:bCs/>
                <w:color w:val="000000"/>
              </w:rPr>
              <w:t>Što?</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b/>
                <w:b/>
                <w:bCs/>
                <w:color w:val="000000"/>
              </w:rPr>
            </w:pPr>
            <w:r>
              <w:rPr>
                <w:rFonts w:eastAsia="Calibri"/>
                <w:b/>
                <w:bCs/>
                <w:color w:val="000000"/>
              </w:rPr>
              <w:t>Koliko?</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b/>
                <w:b/>
                <w:bCs/>
                <w:color w:val="000000"/>
              </w:rPr>
            </w:pPr>
            <w:r>
              <w:rPr>
                <w:rFonts w:eastAsia="Calibri"/>
                <w:b/>
                <w:bCs/>
                <w:color w:val="000000"/>
              </w:rPr>
              <w:t>Aktivnost</w:t>
            </w:r>
          </w:p>
        </w:tc>
      </w:tr>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Popis sudionika</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p>
            <w:pPr>
              <w:pStyle w:val="Normal"/>
              <w:widowControl w:val="false"/>
              <w:spacing w:lineRule="auto" w:line="240" w:before="0" w:after="0"/>
              <w:rPr>
                <w:rFonts w:eastAsia="Calibri"/>
                <w:color w:val="000000"/>
                <w:sz w:val="20"/>
                <w:szCs w:val="20"/>
              </w:rPr>
            </w:pPr>
            <w:r>
              <w:rPr>
                <w:rFonts w:eastAsia="Calibri"/>
                <w:color w:val="000000"/>
                <w:sz w:val="20"/>
                <w:szCs w:val="20"/>
              </w:rPr>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Calibri"/>
                <w:color w:val="000000"/>
                <w:sz w:val="20"/>
                <w:szCs w:val="20"/>
              </w:rPr>
            </w:pPr>
            <w:r>
              <w:rPr>
                <w:rFonts w:eastAsia="Calibri"/>
                <w:color w:val="000000"/>
                <w:sz w:val="20"/>
                <w:szCs w:val="20"/>
              </w:rPr>
              <w:t xml:space="preserve">Pitanja dobrodošlice i organizacijska pitanja </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40" w:before="0" w:after="0"/>
              <w:ind w:left="0" w:hanging="0"/>
              <w:rPr>
                <w:rFonts w:eastAsia="Calibri"/>
                <w:color w:val="000000"/>
                <w:sz w:val="20"/>
                <w:szCs w:val="20"/>
              </w:rPr>
            </w:pPr>
            <w:r>
              <w:rPr>
                <w:rFonts w:eastAsia="Calibri"/>
                <w:color w:val="000000"/>
                <w:sz w:val="20"/>
                <w:szCs w:val="20"/>
              </w:rPr>
              <w:t>Raspored radionica (npr. napisano na flip-chartu/ u prezetntaciji)</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Calibri"/>
                <w:color w:val="000000"/>
                <w:sz w:val="20"/>
                <w:szCs w:val="20"/>
              </w:rPr>
            </w:pPr>
            <w:r>
              <w:rPr>
                <w:rFonts w:eastAsia="Calibri"/>
                <w:color w:val="000000"/>
                <w:sz w:val="20"/>
                <w:szCs w:val="20"/>
              </w:rPr>
              <w:t>Pitanja dobrodošlice i organizacijska pitanja</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40" w:before="0" w:after="0"/>
              <w:ind w:left="0" w:hanging="0"/>
              <w:rPr>
                <w:rFonts w:eastAsia="Calibri"/>
                <w:color w:val="000000"/>
                <w:sz w:val="20"/>
                <w:szCs w:val="20"/>
              </w:rPr>
            </w:pPr>
            <w:r>
              <w:rPr>
                <w:rFonts w:eastAsia="Calibri"/>
                <w:color w:val="000000"/>
                <w:sz w:val="20"/>
                <w:szCs w:val="20"/>
              </w:rPr>
              <w:t>Ciljevi radionice (npr. napisani na flip-chartu/ u prezentaciji</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Calibri"/>
                <w:color w:val="000000"/>
                <w:sz w:val="20"/>
                <w:szCs w:val="20"/>
              </w:rPr>
            </w:pPr>
            <w:r>
              <w:rPr>
                <w:rFonts w:eastAsia="Calibri"/>
                <w:color w:val="000000"/>
                <w:sz w:val="20"/>
                <w:szCs w:val="20"/>
              </w:rPr>
              <w:t>Pitanja dobrodošlice i organizacijska pitanja</w:t>
            </w:r>
          </w:p>
        </w:tc>
      </w:tr>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Projektor, zvučnici, prijenosno računalo</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 u sadržaj</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76" w:before="0" w:after="0"/>
              <w:ind w:left="0" w:hanging="0"/>
              <w:rPr>
                <w:rFonts w:eastAsia="Calibri"/>
                <w:color w:val="000000"/>
                <w:sz w:val="20"/>
                <w:szCs w:val="20"/>
              </w:rPr>
            </w:pPr>
            <w:r>
              <w:rPr>
                <w:rFonts w:eastAsia="Calibri"/>
                <w:color w:val="000000"/>
                <w:sz w:val="20"/>
                <w:szCs w:val="20"/>
              </w:rPr>
              <w:t>Plakat s općim napomenama o simulacijskim igrama (vidi korak 1) (npr. napisan na flipchartu)</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 u simulacijsku igru</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76" w:before="0" w:after="0"/>
              <w:ind w:left="0" w:hanging="0"/>
              <w:rPr>
                <w:rFonts w:eastAsia="Calibri"/>
                <w:color w:val="000000"/>
                <w:sz w:val="20"/>
                <w:szCs w:val="20"/>
              </w:rPr>
            </w:pPr>
            <w:r>
              <w:rPr>
                <w:rFonts w:eastAsia="Calibri"/>
                <w:color w:val="000000"/>
                <w:sz w:val="20"/>
                <w:szCs w:val="20"/>
              </w:rPr>
              <w:t>Slijed aktivnosti tijekom igre uloga (npr. napisano na flipchartu/ u prezentaciji)</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 u simulacijsku igru</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76" w:before="0" w:after="0"/>
              <w:ind w:left="0" w:hanging="0"/>
              <w:rPr>
                <w:rFonts w:eastAsia="Calibri"/>
                <w:color w:val="000000"/>
                <w:sz w:val="20"/>
                <w:szCs w:val="20"/>
              </w:rPr>
            </w:pPr>
            <w:r>
              <w:rPr>
                <w:rFonts w:eastAsia="Calibri"/>
                <w:color w:val="000000"/>
                <w:sz w:val="20"/>
                <w:szCs w:val="20"/>
              </w:rPr>
              <w:t>Tablica rezultata (npr. napisana na flipchartu/ u prezentaciji)</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 u simulacijsku igru</w:t>
            </w:r>
          </w:p>
        </w:tc>
      </w:tr>
      <w:tr>
        <w:trPr/>
        <w:tc>
          <w:tcPr>
            <w:tcW w:w="2946" w:type="dxa"/>
            <w:tcBorders>
              <w:left w:val="single" w:sz="4" w:space="0" w:color="000000"/>
              <w:bottom w:val="single" w:sz="4" w:space="0" w:color="000000"/>
              <w:right w:val="single" w:sz="4" w:space="0" w:color="000000"/>
            </w:tcBorders>
            <w:shd w:color="auto" w:fill="E1E9FF" w:val="clear"/>
          </w:tcPr>
          <w:p>
            <w:pPr>
              <w:pStyle w:val="ListParagraph"/>
              <w:widowControl w:val="false"/>
              <w:spacing w:lineRule="auto" w:line="276" w:before="0" w:after="0"/>
              <w:ind w:left="0" w:hanging="0"/>
              <w:rPr>
                <w:rFonts w:eastAsia="Calibri"/>
                <w:color w:val="000000"/>
                <w:sz w:val="20"/>
                <w:szCs w:val="20"/>
              </w:rPr>
            </w:pPr>
            <w:r>
              <w:rPr>
                <w:rFonts w:eastAsia="Calibri"/>
                <w:color w:val="000000"/>
                <w:sz w:val="20"/>
                <w:szCs w:val="20"/>
              </w:rPr>
              <w:t>Kartice s naslovom uloge (za dodjelu uloga)</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2-3 kartice/ uloga (1/sudionik)</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 u simulacijsku igru</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Stolovi sa karticama i dovoljno stolica</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6</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Pokretanje igre</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Prazna kartica imena</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 sudionik</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Pokretanje igre</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Mjerač vremena za praćenje duljine izjave</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Uvodni krug</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Flipchart/slajd s tablicom rezultata</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Otvaranje kruga</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sz w:val="20"/>
                <w:szCs w:val="20"/>
              </w:rPr>
            </w:pPr>
            <w:r>
              <w:rPr>
                <w:rFonts w:eastAsia="Calibri"/>
                <w:sz w:val="20"/>
                <w:szCs w:val="20"/>
              </w:rPr>
              <w:t>Olovke i prazan papir</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Za svakog sudionika</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Faza pregovora I. i ispitivanje</w:t>
            </w:r>
          </w:p>
        </w:tc>
      </w:tr>
      <w:tr>
        <w:trPr/>
        <w:tc>
          <w:tcPr>
            <w:tcW w:w="2946"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Grickalice</w:t>
            </w:r>
          </w:p>
        </w:tc>
        <w:tc>
          <w:tcPr>
            <w:tcW w:w="1642"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Dovoljne količine</w:t>
            </w:r>
          </w:p>
        </w:tc>
        <w:tc>
          <w:tcPr>
            <w:tcW w:w="2633" w:type="dxa"/>
            <w:tcBorders>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Faza pregovora I. i pauza</w:t>
            </w:r>
          </w:p>
        </w:tc>
      </w:tr>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sz w:val="20"/>
                <w:szCs w:val="20"/>
              </w:rPr>
            </w:pPr>
            <w:r>
              <w:rPr>
                <w:rFonts w:eastAsia="Calibri"/>
                <w:sz w:val="20"/>
                <w:szCs w:val="20"/>
              </w:rPr>
              <w:t xml:space="preserve">Prijedlog konačne izjave </w:t>
            </w:r>
            <w:r>
              <w:rPr>
                <w:rFonts w:eastAsia="Calibri"/>
                <w:color w:val="000000"/>
                <w:sz w:val="20"/>
                <w:szCs w:val="20"/>
              </w:rPr>
              <w:t>(npr. napisano na flipchharttu/ u prezentaciji)</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Pauza</w:t>
            </w:r>
          </w:p>
        </w:tc>
      </w:tr>
      <w:tr>
        <w:trPr>
          <w:trHeight w:val="316" w:hRule="atLeast"/>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Flipchart za pisanje rezultata glasovanja</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Glasovanje</w:t>
            </w:r>
          </w:p>
        </w:tc>
      </w:tr>
      <w:tr>
        <w:trPr>
          <w:trHeight w:val="324" w:hRule="atLeast"/>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Flipchart s vodećim pitanjima za ispitivanje</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Ispitivanje</w:t>
            </w:r>
          </w:p>
        </w:tc>
      </w:tr>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spacing w:lineRule="auto" w:line="240" w:before="0" w:after="0"/>
              <w:ind w:left="0" w:hanging="0"/>
              <w:rPr>
                <w:rFonts w:eastAsia="Calibri"/>
                <w:color w:val="000000"/>
                <w:sz w:val="20"/>
                <w:szCs w:val="20"/>
              </w:rPr>
            </w:pPr>
            <w:r>
              <w:rPr>
                <w:rFonts w:eastAsia="Calibri"/>
                <w:color w:val="000000"/>
                <w:sz w:val="20"/>
                <w:szCs w:val="20"/>
              </w:rPr>
              <w:t>Obrasci za povratne informacije</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 sudionik</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Završetak i povratne informacije</w:t>
            </w:r>
          </w:p>
        </w:tc>
      </w:tr>
      <w:tr>
        <w:trPr/>
        <w:tc>
          <w:tcPr>
            <w:tcW w:w="2946"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spacing w:lineRule="auto" w:line="240" w:before="0" w:after="0"/>
              <w:ind w:left="0" w:hanging="0"/>
              <w:rPr>
                <w:rFonts w:eastAsia="Calibri"/>
                <w:color w:val="000000"/>
                <w:sz w:val="20"/>
                <w:szCs w:val="20"/>
              </w:rPr>
            </w:pPr>
            <w:r>
              <w:rPr>
                <w:rFonts w:eastAsia="Calibri"/>
                <w:color w:val="000000"/>
                <w:sz w:val="20"/>
                <w:szCs w:val="20"/>
              </w:rPr>
              <w:t>Objekt koji se može biti dodavan u krugu, npr. dodavanje lopte</w:t>
            </w:r>
          </w:p>
        </w:tc>
        <w:tc>
          <w:tcPr>
            <w:tcW w:w="1642"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w:t>
            </w:r>
          </w:p>
        </w:tc>
        <w:tc>
          <w:tcPr>
            <w:tcW w:w="2633"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Završetak i povratne informacije</w:t>
            </w:r>
          </w:p>
        </w:tc>
      </w:tr>
    </w:tbl>
    <w:p>
      <w:pPr>
        <w:pStyle w:val="Berschrift2"/>
        <w:rPr/>
      </w:pPr>
      <w:r>
        <w:rPr/>
        <w:t>Aktivnost 1: Dobrodošlica i organizacijska pitanja</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Na početku radionice važno je planirati dovoljno vremena za opušteni dolazak i dobrodošlicu polaznika. Nakon toga, vi (trener radionice) možete razgovarati o potrebnim organizacijskim pitanjima.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10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numPr>
                <w:ilvl w:val="0"/>
                <w:numId w:val="44"/>
              </w:numPr>
              <w:spacing w:lineRule="auto" w:line="240" w:before="0" w:after="0"/>
              <w:rPr>
                <w:color w:val="000000"/>
              </w:rPr>
            </w:pPr>
            <w:r>
              <w:rPr>
                <w:color w:val="000000"/>
              </w:rPr>
              <w:t>Potpisna lista</w:t>
            </w:r>
          </w:p>
          <w:p>
            <w:pPr>
              <w:pStyle w:val="ListParagraph"/>
              <w:widowControl w:val="false"/>
              <w:numPr>
                <w:ilvl w:val="0"/>
                <w:numId w:val="45"/>
              </w:numPr>
              <w:spacing w:lineRule="auto" w:line="240" w:before="0" w:after="0"/>
              <w:rPr>
                <w:color w:val="000000"/>
              </w:rPr>
            </w:pPr>
            <w:r>
              <w:rPr>
                <w:color w:val="000000"/>
              </w:rPr>
              <w:t xml:space="preserve">Raspored radionice </w:t>
            </w:r>
            <w:r>
              <w:rPr>
                <w:rFonts w:eastAsia="Calibri"/>
                <w:color w:val="000000"/>
              </w:rPr>
              <w:t>(npr. napisano na flip-chartu/ u prezentaciji)</w:t>
            </w:r>
          </w:p>
          <w:p>
            <w:pPr>
              <w:pStyle w:val="ListParagraph"/>
              <w:widowControl w:val="false"/>
              <w:numPr>
                <w:ilvl w:val="0"/>
                <w:numId w:val="46"/>
              </w:numPr>
              <w:spacing w:lineRule="auto" w:line="240" w:before="0" w:after="0"/>
              <w:rPr>
                <w:color w:val="000000"/>
              </w:rPr>
            </w:pPr>
            <w:r>
              <w:rPr>
                <w:color w:val="000000"/>
              </w:rPr>
              <w:t xml:space="preserve">Ciljevi radionice </w:t>
            </w:r>
            <w:r>
              <w:rPr>
                <w:rFonts w:eastAsia="Calibri"/>
                <w:color w:val="000000"/>
              </w:rPr>
              <w:t>(npr. napisano na flip-chartu/ u prezentaciji</w:t>
            </w:r>
          </w:p>
        </w:tc>
      </w:tr>
    </w:tbl>
    <w:p>
      <w:pPr>
        <w:pStyle w:val="Normal"/>
        <w:spacing w:lineRule="auto" w:line="276"/>
        <w:rPr/>
      </w:pPr>
      <w:r>
        <w:rPr/>
      </w:r>
    </w:p>
    <w:p>
      <w:pPr>
        <w:pStyle w:val="Normal"/>
        <w:spacing w:lineRule="auto" w:line="276"/>
        <w:rPr/>
      </w:pPr>
      <w:r>
        <w:rPr/>
        <w:t>Za ovu aktivnost važno je omogućiti prostor u kojem se sudionici osjećaju dobrodošlo. Također je važno razjasniti sva organizacijska pitanja prije početka same igre kako bi se sudionici mogli usredotočiti.</w:t>
      </w:r>
    </w:p>
    <w:p>
      <w:pPr>
        <w:pStyle w:val="Normal"/>
        <w:spacing w:lineRule="auto" w:line="276"/>
        <w:rPr/>
      </w:pPr>
      <w:r>
        <w:rPr/>
        <w:t>Trebali biste pojasniti i komunicirati sljedeće:</w:t>
      </w:r>
    </w:p>
    <w:p>
      <w:pPr>
        <w:pStyle w:val="ListParagraph"/>
        <w:numPr>
          <w:ilvl w:val="0"/>
          <w:numId w:val="47"/>
        </w:numPr>
        <w:spacing w:lineRule="auto" w:line="276"/>
        <w:rPr/>
      </w:pPr>
      <w:r>
        <w:rPr/>
        <w:t>Predstavljanje</w:t>
      </w:r>
    </w:p>
    <w:p>
      <w:pPr>
        <w:pStyle w:val="ListParagraph"/>
        <w:numPr>
          <w:ilvl w:val="0"/>
          <w:numId w:val="48"/>
        </w:numPr>
        <w:spacing w:lineRule="auto" w:line="276"/>
        <w:rPr/>
      </w:pPr>
      <w:r>
        <w:rPr/>
        <w:t>Kontekst i pozadina radionice → Zašto se ova radionica održava?</w:t>
      </w:r>
    </w:p>
    <w:p>
      <w:pPr>
        <w:pStyle w:val="ListParagraph"/>
        <w:numPr>
          <w:ilvl w:val="0"/>
          <w:numId w:val="49"/>
        </w:numPr>
        <w:spacing w:lineRule="auto" w:line="276"/>
        <w:rPr/>
      </w:pPr>
      <w:r>
        <w:rPr/>
        <w:t>Što sudionici mogu očekivati? → Pokazati raspored i ciljeve radionice</w:t>
      </w:r>
    </w:p>
    <w:p>
      <w:pPr>
        <w:pStyle w:val="ListParagraph"/>
        <w:numPr>
          <w:ilvl w:val="0"/>
          <w:numId w:val="50"/>
        </w:numPr>
        <w:spacing w:lineRule="auto" w:line="276"/>
        <w:rPr/>
      </w:pPr>
      <w:r>
        <w:rPr/>
        <w:t>Potpisna lista sudionika</w:t>
      </w:r>
    </w:p>
    <w:p>
      <w:pPr>
        <w:pStyle w:val="ListParagraph"/>
        <w:numPr>
          <w:ilvl w:val="0"/>
          <w:numId w:val="51"/>
        </w:numPr>
        <w:spacing w:lineRule="auto" w:line="276"/>
        <w:rPr/>
      </w:pPr>
      <w:r>
        <w:rPr/>
        <w:t>...</w:t>
      </w:r>
    </w:p>
    <w:p>
      <w:pPr>
        <w:pStyle w:val="Normal"/>
        <w:spacing w:lineRule="auto" w:line="276"/>
        <w:rPr/>
      </w:pPr>
      <w:r>
        <w:rPr/>
        <w:t>Ovaj popis možete prilagoditi kontekstu i potrebama radionice.</w:t>
      </w:r>
    </w:p>
    <w:p>
      <w:pPr>
        <w:pStyle w:val="Normal"/>
        <w:spacing w:lineRule="auto" w:line="276"/>
        <w:rPr>
          <w:b/>
          <w:b/>
          <w:bCs/>
        </w:rPr>
      </w:pPr>
      <w:r>
        <w:rPr>
          <w:b/>
          <w:bCs/>
        </w:rPr>
        <w:t>Općenite napomene:</w:t>
      </w:r>
    </w:p>
    <w:p>
      <w:pPr>
        <w:pStyle w:val="Normal"/>
        <w:spacing w:lineRule="auto" w:line="276"/>
        <w:rPr/>
      </w:pPr>
      <w:r>
        <w:rPr/>
        <w:t>Ovaj dio obično traje duže nego što mislite, ali još uvijek je važno ne trošiti previše vremena na organizacijske detalje. Korisno je unaprijed temeljito razmisliti o tome koje su informacije potrebne. Nadalje, moglo bi biti korisno pripremiti prezentaciju rasporeda, ciljeva radionice itd., kako bi se sudionicima olakšalo praćenje važnih informacija.</w:t>
      </w:r>
    </w:p>
    <w:p>
      <w:pPr>
        <w:pStyle w:val="Normal"/>
        <w:spacing w:lineRule="auto" w:line="276"/>
        <w:rPr>
          <w:b/>
          <w:b/>
          <w:bCs/>
        </w:rPr>
      </w:pPr>
      <w:r>
        <w:rPr>
          <w:b/>
          <w:bCs/>
        </w:rPr>
        <w:t>Napomene za implementaciju online radionice:</w:t>
      </w:r>
    </w:p>
    <w:p>
      <w:pPr>
        <w:pStyle w:val="Normal"/>
        <w:spacing w:lineRule="auto" w:line="276"/>
        <w:rPr>
          <w:lang w:val="en-GB"/>
        </w:rPr>
      </w:pPr>
      <w:r>
        <w:rPr>
          <w:lang w:val="en-GB"/>
        </w:rPr>
        <w:t>Ako organizirate radionicu online trebate objasniti sve relevantne tehničke upute, kako koristiti chat itd. Prijedlog za korištenje chata I moderiranje rasprava u virtualnom prostoru možete pronaći u Dodatku 1. Umjesto flip-chartova, možete pripremiti jednostavnu prezentaciju.</w:t>
      </w:r>
    </w:p>
    <w:p>
      <w:pPr>
        <w:pStyle w:val="Berschrift2"/>
        <w:rPr/>
      </w:pPr>
      <w:r>
        <w:rPr/>
      </w:r>
      <w:r>
        <w:br w:type="page"/>
      </w:r>
    </w:p>
    <w:p>
      <w:pPr>
        <w:pStyle w:val="Berschrift2"/>
        <w:rPr/>
      </w:pPr>
      <w:r>
        <w:rPr/>
        <w:t>Aktivnost 2: Uvod u sadržaj</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Web"/>
              <w:widowControl w:val="false"/>
              <w:spacing w:before="240" w:after="0"/>
              <w:rPr>
                <w:rFonts w:ascii="Nunito" w:hAnsi="Nunito"/>
                <w:color w:val="000000"/>
                <w:sz w:val="20"/>
                <w:szCs w:val="20"/>
                <w:lang w:val="en-GB"/>
              </w:rPr>
            </w:pPr>
            <w:r>
              <w:rPr>
                <w:rFonts w:ascii="Nunito" w:hAnsi="Nunito"/>
                <w:color w:val="000000"/>
                <w:sz w:val="20"/>
                <w:szCs w:val="20"/>
                <w:lang w:val="en-GB"/>
              </w:rPr>
              <w:t>Kroz kratki video učimo o konceptu pravedne tranzicije, njegovim temeljnim idejama i onome što bi mogao tražiti za područje zrakoplovstva.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160"/>
              <w:rPr>
                <w:rFonts w:eastAsia="Calibri"/>
                <w:sz w:val="20"/>
                <w:szCs w:val="20"/>
              </w:rPr>
            </w:pPr>
            <w:r>
              <w:rPr>
                <w:rFonts w:eastAsia="Calibri"/>
                <w:sz w:val="20"/>
                <w:szCs w:val="20"/>
              </w:rPr>
              <w:t>15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numPr>
                <w:ilvl w:val="0"/>
                <w:numId w:val="3"/>
              </w:numPr>
              <w:spacing w:lineRule="auto" w:line="276" w:before="0" w:after="0"/>
              <w:rPr>
                <w:rFonts w:eastAsia="Calibri"/>
                <w:color w:val="000000"/>
                <w:sz w:val="20"/>
                <w:szCs w:val="20"/>
              </w:rPr>
            </w:pPr>
            <w:r>
              <w:rPr>
                <w:rFonts w:eastAsia="Calibri"/>
                <w:color w:val="000000"/>
                <w:sz w:val="20"/>
                <w:szCs w:val="20"/>
              </w:rPr>
              <w:t>Projektor</w:t>
            </w:r>
          </w:p>
          <w:p>
            <w:pPr>
              <w:pStyle w:val="ListParagraph"/>
              <w:widowControl w:val="false"/>
              <w:numPr>
                <w:ilvl w:val="0"/>
                <w:numId w:val="3"/>
              </w:numPr>
              <w:spacing w:lineRule="auto" w:line="276" w:before="0" w:after="0"/>
              <w:rPr>
                <w:rFonts w:eastAsia="Calibri"/>
                <w:color w:val="000000"/>
                <w:sz w:val="20"/>
                <w:szCs w:val="20"/>
              </w:rPr>
            </w:pPr>
            <w:r>
              <w:rPr>
                <w:rFonts w:eastAsia="Calibri"/>
                <w:color w:val="000000"/>
                <w:sz w:val="20"/>
                <w:szCs w:val="20"/>
              </w:rPr>
              <w:t>Zvučnici</w:t>
            </w:r>
          </w:p>
          <w:p>
            <w:pPr>
              <w:pStyle w:val="ListParagraph"/>
              <w:widowControl w:val="false"/>
              <w:numPr>
                <w:ilvl w:val="0"/>
                <w:numId w:val="3"/>
              </w:numPr>
              <w:spacing w:lineRule="auto" w:line="276" w:before="0" w:after="0"/>
              <w:rPr>
                <w:rFonts w:eastAsia="Calibri"/>
                <w:color w:val="000000"/>
                <w:sz w:val="20"/>
                <w:szCs w:val="20"/>
              </w:rPr>
            </w:pPr>
            <w:r>
              <w:rPr>
                <w:rFonts w:eastAsia="Calibri"/>
                <w:color w:val="000000"/>
                <w:sz w:val="20"/>
                <w:szCs w:val="20"/>
              </w:rPr>
              <w:t>Laptop</w:t>
            </w:r>
          </w:p>
        </w:tc>
      </w:tr>
    </w:tbl>
    <w:p>
      <w:pPr>
        <w:pStyle w:val="Normal"/>
        <w:rPr/>
      </w:pPr>
      <w:r>
        <w:rPr/>
      </w:r>
    </w:p>
    <w:p>
      <w:pPr>
        <w:pStyle w:val="Normal"/>
        <w:spacing w:lineRule="auto" w:line="276"/>
        <w:rPr/>
      </w:pPr>
      <w:r>
        <w:rPr>
          <w:u w:val="single"/>
        </w:rPr>
        <w:t>Korak 1:</w:t>
      </w:r>
      <w:r>
        <w:rPr/>
        <w:t xml:space="preserve"> Prikaži videozapis "Prijelazna tranzicija</w:t>
      </w:r>
      <w:r>
        <w:rPr>
          <w:color w:val="000000"/>
        </w:rPr>
        <w:t xml:space="preserve"> letenja</w:t>
      </w:r>
      <w:r>
        <w:rPr/>
        <w:t xml:space="preserve">". Video je dostupan na engleskom jeziku s njemačkim, talijanskim i hrvatskim titlovima. Dostupan je na YouTubeu. Poveznica: </w:t>
      </w:r>
      <w:hyperlink r:id="rId7">
        <w:r>
          <w:rPr>
            <w:rStyle w:val="Internetverknpfung"/>
          </w:rPr>
          <w:t>https://www.youtube.com/watch?v=yAm8jPA1XY4</w:t>
        </w:r>
      </w:hyperlink>
      <w:r>
        <w:rPr/>
        <w:t xml:space="preserve"> </w:t>
        <w:br/>
        <w:t>U videu Nina, djelatnik Stay Groundeda, objašnjava koncept pravedne tranzicije i što pravedna tranzicija znači za zrakoplovnu industriju.</w:t>
      </w:r>
    </w:p>
    <w:p>
      <w:pPr>
        <w:pStyle w:val="Normal"/>
        <w:spacing w:lineRule="auto" w:line="276"/>
        <w:rPr/>
      </w:pPr>
      <w:r>
        <w:rPr>
          <w:u w:val="single"/>
        </w:rPr>
        <w:t>Korak 2:</w:t>
      </w:r>
      <w:r>
        <w:rPr/>
        <w:t xml:space="preserve"> Pitajte sudionike imaju li pitanja nakon videozapisa.</w:t>
        <w:br/>
        <w:br/>
      </w:r>
      <w:r>
        <w:rPr>
          <w:b/>
          <w:bCs/>
        </w:rPr>
        <w:t xml:space="preserve">Općenite napomene: </w:t>
        <w:br/>
      </w:r>
      <w:r>
        <w:rPr/>
        <w:t xml:space="preserve">Pronaći ćete preporuke za dodatni materijal o konceptu pravedne tranzicije i utjecaju zračnog prometa na klimu u </w:t>
      </w:r>
      <w:r>
        <w:rPr>
          <w:color w:val="000000"/>
        </w:rPr>
        <w:t>Dodatku 2.</w:t>
      </w:r>
      <w:r>
        <w:rPr/>
        <w:br/>
      </w:r>
    </w:p>
    <w:p>
      <w:pPr>
        <w:pStyle w:val="Normal"/>
        <w:spacing w:lineRule="auto" w:line="276"/>
        <w:rPr/>
      </w:pPr>
      <w:r>
        <w:rPr>
          <w:b/>
          <w:bCs/>
        </w:rPr>
        <w:t>Napomene za implementaciju online:</w:t>
      </w:r>
      <w:r>
        <w:rPr/>
        <w:br/>
        <w:t>Ako radionicu vodite online, možete omogućiti dijeljenje zaslona kako biste prikazali videozapis ili staviti poveznicu u chat kako bi sudionici mogli zasebno gledati videozapis. Potonje preporučujemo jer dijeljenje zaslona ponekad utječe na kvalitetu videozapisa. Ako sudionici gledaju videozapis zasebno, dogovorite se o točnom vremenu za nastavak radionice.</w:t>
      </w:r>
    </w:p>
    <w:p>
      <w:pPr>
        <w:pStyle w:val="Normal"/>
        <w:spacing w:lineRule="auto" w:line="276"/>
        <w:rPr/>
      </w:pPr>
      <w:r>
        <w:rPr/>
        <w:br/>
      </w:r>
      <w:r>
        <w:br w:type="page"/>
      </w:r>
    </w:p>
    <w:p>
      <w:pPr>
        <w:pStyle w:val="Normal"/>
        <w:spacing w:lineRule="auto" w:line="276"/>
        <w:rPr/>
      </w:pPr>
      <w:r>
        <w:rPr>
          <w:rFonts w:ascii="Compiler Plain Medium" w:hAnsi="Compiler Plain Medium"/>
          <w:color w:val="F15621"/>
          <w:sz w:val="28"/>
          <w:szCs w:val="26"/>
        </w:rPr>
        <w:t xml:space="preserve">Aktivnost 3: Uvod u simulacijsku igru  </w:t>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Web"/>
              <w:widowControl w:val="false"/>
              <w:spacing w:before="240" w:after="0"/>
              <w:rPr>
                <w:rFonts w:ascii="Quincy CF" w:hAnsi="Quincy CF" w:eastAsia="Calibri"/>
                <w:color w:val="000000"/>
                <w:sz w:val="22"/>
                <w:szCs w:val="22"/>
                <w:lang w:val="hr-HR" w:eastAsia="en-US"/>
              </w:rPr>
            </w:pPr>
            <w:r>
              <w:rPr>
                <w:rFonts w:eastAsia="Calibri" w:ascii="Quincy CF" w:hAnsi="Quincy CF"/>
                <w:color w:val="000000"/>
                <w:sz w:val="22"/>
                <w:szCs w:val="22"/>
                <w:lang w:val="hr-HR" w:eastAsia="en-US"/>
              </w:rPr>
              <w:t>Učimo o strukturi i slijedu aktivnosti kao i pravilima ove simulacijske igre. Nadalje, upoznajemo se s općom idejom simulacijskih igara. Konačno, odlučujemo tko će igrati koju ulogu.</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160"/>
              <w:rPr>
                <w:rFonts w:eastAsia="Calibri"/>
              </w:rPr>
            </w:pPr>
            <w:r>
              <w:rPr>
                <w:rFonts w:eastAsia="Calibri"/>
              </w:rPr>
              <w:t>15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numPr>
                <w:ilvl w:val="0"/>
                <w:numId w:val="3"/>
              </w:numPr>
              <w:spacing w:lineRule="auto" w:line="276" w:before="0" w:after="0"/>
              <w:rPr>
                <w:rFonts w:eastAsia="Calibri"/>
                <w:color w:val="000000"/>
              </w:rPr>
            </w:pPr>
            <w:r>
              <w:rPr>
                <w:rFonts w:eastAsia="Calibri"/>
                <w:color w:val="000000"/>
              </w:rPr>
              <w:t>Općenite upute o provođenju simulacijskih igara (vidi korak 1) (npr. napisane na flip-chartu/ u prezentaciji)</w:t>
            </w:r>
          </w:p>
          <w:p>
            <w:pPr>
              <w:pStyle w:val="ListParagraph"/>
              <w:widowControl w:val="false"/>
              <w:numPr>
                <w:ilvl w:val="0"/>
                <w:numId w:val="3"/>
              </w:numPr>
              <w:spacing w:lineRule="auto" w:line="276" w:before="0" w:after="0"/>
              <w:rPr>
                <w:rFonts w:eastAsia="Calibri"/>
                <w:color w:val="000000"/>
              </w:rPr>
            </w:pPr>
            <w:r>
              <w:rPr>
                <w:rFonts w:eastAsia="Calibri"/>
                <w:color w:val="000000"/>
              </w:rPr>
              <w:t>Slijed aktivnosti tijekom igre uloga (npr. napisane na flip-chartu/ u prezentaciji)</w:t>
            </w:r>
          </w:p>
          <w:p>
            <w:pPr>
              <w:pStyle w:val="ListParagraph"/>
              <w:widowControl w:val="false"/>
              <w:numPr>
                <w:ilvl w:val="0"/>
                <w:numId w:val="3"/>
              </w:numPr>
              <w:spacing w:lineRule="auto" w:line="276" w:before="0" w:after="0"/>
              <w:rPr>
                <w:rFonts w:eastAsia="Calibri"/>
                <w:color w:val="000000"/>
              </w:rPr>
            </w:pPr>
            <w:r>
              <w:rPr>
                <w:rFonts w:eastAsia="Calibri"/>
                <w:color w:val="000000"/>
              </w:rPr>
              <w:t>tablica rezultata (npr. napisane na flip-chartu/ u prezentaciji)</w:t>
            </w:r>
          </w:p>
          <w:p>
            <w:pPr>
              <w:pStyle w:val="ListParagraph"/>
              <w:widowControl w:val="false"/>
              <w:numPr>
                <w:ilvl w:val="0"/>
                <w:numId w:val="3"/>
              </w:numPr>
              <w:spacing w:lineRule="auto" w:line="276" w:before="0" w:after="0"/>
              <w:rPr>
                <w:rFonts w:eastAsia="Calibri"/>
                <w:color w:val="000000"/>
              </w:rPr>
            </w:pPr>
            <w:r>
              <w:rPr>
                <w:rFonts w:eastAsia="Calibri"/>
                <w:color w:val="000000"/>
              </w:rPr>
              <w:t>2-3 kartice/ uloga (za dodjelu uloga)</w:t>
            </w:r>
          </w:p>
        </w:tc>
      </w:tr>
    </w:tbl>
    <w:p>
      <w:pPr>
        <w:pStyle w:val="Normal"/>
        <w:spacing w:lineRule="auto" w:line="276"/>
        <w:rPr/>
      </w:pPr>
      <w:r>
        <w:rPr/>
      </w:r>
    </w:p>
    <w:p>
      <w:pPr>
        <w:pStyle w:val="Normal"/>
        <w:spacing w:lineRule="auto" w:line="276"/>
        <w:rPr/>
      </w:pPr>
      <w:r>
        <w:rPr>
          <w:u w:val="single"/>
        </w:rPr>
        <w:t>Korak 1:</w:t>
      </w:r>
      <w:r>
        <w:rPr/>
        <w:t xml:space="preserve"> Započnite s uvođenjem opće ideje simulacijskih igara. Možete uključiti sljedeće točke:</w:t>
      </w:r>
    </w:p>
    <w:p>
      <w:pPr>
        <w:pStyle w:val="Normal"/>
        <w:numPr>
          <w:ilvl w:val="0"/>
          <w:numId w:val="25"/>
        </w:numPr>
        <w:spacing w:lineRule="auto" w:line="276"/>
        <w:rPr/>
      </w:pPr>
      <w:r>
        <w:rPr/>
        <w:t>Simulacijska igra namijenjena je da je se doživi, a ne samo raspravlja o različitim perspektivama odabrane teme. Takva igra omogućuje doživljavanje dilema i dinamike moći koje također postoje u stvarnom svijetu.</w:t>
      </w:r>
    </w:p>
    <w:p>
      <w:pPr>
        <w:pStyle w:val="Normal"/>
        <w:numPr>
          <w:ilvl w:val="0"/>
          <w:numId w:val="52"/>
        </w:numPr>
        <w:spacing w:lineRule="auto" w:line="276"/>
        <w:rPr/>
      </w:pPr>
      <w:r>
        <w:rPr/>
        <w:t>Međutim, ključno je primijetiti da simulacijske igre uvijek pojednostavljuju stvarnost!</w:t>
        <w:br/>
        <w:t>Uloge i postavke simulacijske igre su izmišljene.</w:t>
      </w:r>
    </w:p>
    <w:p>
      <w:pPr>
        <w:pStyle w:val="Normal"/>
        <w:numPr>
          <w:ilvl w:val="0"/>
          <w:numId w:val="53"/>
        </w:numPr>
        <w:spacing w:lineRule="auto" w:line="276"/>
        <w:rPr/>
      </w:pPr>
      <w:r>
        <w:rPr/>
        <w:t>Simulacijska igra smještena je u budućnost i radi igre pretpostavljamo da će politika biti posvećena društveno pravednoj tranziciji, uključujući značajno smanjenje emisija stakleničkih plinova.</w:t>
      </w:r>
    </w:p>
    <w:p>
      <w:pPr>
        <w:pStyle w:val="Normal"/>
        <w:numPr>
          <w:ilvl w:val="0"/>
          <w:numId w:val="54"/>
        </w:numPr>
        <w:spacing w:lineRule="auto" w:line="276"/>
        <w:rPr/>
      </w:pPr>
      <w:r>
        <w:rPr/>
        <w:t>To je igra uloga - dopustite sebi da se uživite i raspravljate iz perspektive svoje uloge, a ne iz osobnog mišljenja. U isto vrijeme, međutim, neka vaša uloga bude uvjerljiva i potkrijepljena dobrim argumentima.</w:t>
      </w:r>
    </w:p>
    <w:p>
      <w:pPr>
        <w:pStyle w:val="Normal"/>
        <w:numPr>
          <w:ilvl w:val="0"/>
          <w:numId w:val="55"/>
        </w:numPr>
        <w:spacing w:lineRule="auto" w:line="276"/>
        <w:rPr/>
      </w:pPr>
      <w:r>
        <w:rPr/>
        <w:t xml:space="preserve">Ako se ne osjećate dobro tijekom igre, obratite se vanjskim moderatorima (VM), koji ostaju izvan igre i služe kao osoba koja prati igru i uključuje s po potrebi. </w:t>
      </w:r>
      <w:r>
        <w:rPr>
          <w:i/>
          <w:iCs/>
        </w:rPr>
        <w:t>[Više informacija o različitim ulogama moderatora pronaći ćete u odjeljku "opće napomene"]</w:t>
      </w:r>
    </w:p>
    <w:p>
      <w:pPr>
        <w:pStyle w:val="Normal"/>
        <w:numPr>
          <w:ilvl w:val="0"/>
          <w:numId w:val="56"/>
        </w:numPr>
        <w:spacing w:lineRule="auto" w:line="276"/>
        <w:rPr/>
      </w:pPr>
      <w:r>
        <w:rPr/>
        <w:t>Na kraju radionice biti će vremena za razgovor o iskustvima i zapažanjima koja napravite tijekom igre i od toga napravite izvještaj.</w:t>
      </w:r>
    </w:p>
    <w:p>
      <w:pPr>
        <w:pStyle w:val="Normal"/>
        <w:numPr>
          <w:ilvl w:val="0"/>
          <w:numId w:val="57"/>
        </w:numPr>
        <w:spacing w:lineRule="auto" w:line="276"/>
        <w:rPr/>
      </w:pPr>
      <w:r>
        <w:rPr/>
        <w:t>Dvije do tri osobe imat će istu ulogu i raditi zajedno, ali mogu se kretati i djelovati samostalno tijekom igre.</w:t>
      </w:r>
    </w:p>
    <w:p>
      <w:pPr>
        <w:pStyle w:val="Normal"/>
        <w:numPr>
          <w:ilvl w:val="0"/>
          <w:numId w:val="58"/>
        </w:numPr>
        <w:spacing w:lineRule="auto" w:line="276"/>
        <w:rPr/>
      </w:pPr>
      <w:r>
        <w:rPr/>
        <w:t>Dobit ćete opise uloga. Međutim, ne morate se toga u potpunosti držati - potpuno je u redu izmišljati stvari oko svoje uloge.</w:t>
      </w:r>
    </w:p>
    <w:p>
      <w:pPr>
        <w:pStyle w:val="Normal"/>
        <w:spacing w:lineRule="auto" w:line="276"/>
        <w:rPr/>
      </w:pPr>
      <w:r>
        <w:rPr>
          <w:u w:val="single"/>
        </w:rPr>
        <w:t>Korak 2:</w:t>
      </w:r>
      <w:r>
        <w:rPr/>
        <w:t xml:space="preserve"> Predstavite pozadinsku priču simulacijske igre u ključnim riječima. Pozadinsku priču možete pronaći u Dodatku 3 i u vodiču za ispis. U ovom trenutku sudionici ne moraju razumjeti cijelu pozadinsku priču, već samo dobiti opću predodžbu o postavljanju igre. Kasnije će imati priliku sami pročitati priču.</w:t>
        <w:br/>
        <w:br/>
      </w:r>
      <w:r>
        <w:rPr>
          <w:u w:val="single"/>
        </w:rPr>
        <w:t>Treći korak:</w:t>
      </w:r>
      <w:r>
        <w:rPr/>
        <w:t xml:space="preserve"> Predstavite slijed aktivnosti tako da sudionici dobiju okvirnu predodžbu o tome što se od njih očekuje. Možete koristiti sljedeći raspored:</w:t>
      </w:r>
    </w:p>
    <w:tbl>
      <w:tblPr>
        <w:tblW w:w="9074" w:type="dxa"/>
        <w:jc w:val="left"/>
        <w:tblInd w:w="5" w:type="dxa"/>
        <w:tblLayout w:type="fixed"/>
        <w:tblCellMar>
          <w:top w:w="55" w:type="dxa"/>
          <w:left w:w="55" w:type="dxa"/>
          <w:bottom w:w="55" w:type="dxa"/>
          <w:right w:w="55" w:type="dxa"/>
        </w:tblCellMar>
        <w:tblLook w:firstRow="0" w:noVBand="0" w:lastRow="0" w:firstColumn="0" w:lastColumn="0" w:noHBand="0" w:val="0000"/>
      </w:tblPr>
      <w:tblGrid>
        <w:gridCol w:w="1187"/>
        <w:gridCol w:w="1644"/>
        <w:gridCol w:w="4201"/>
        <w:gridCol w:w="2041"/>
      </w:tblGrid>
      <w:tr>
        <w:trPr/>
        <w:tc>
          <w:tcPr>
            <w:tcW w:w="1187" w:type="dxa"/>
            <w:tcBorders>
              <w:top w:val="single" w:sz="4" w:space="0" w:color="000000"/>
              <w:left w:val="single" w:sz="4" w:space="0" w:color="000000"/>
              <w:bottom w:val="single" w:sz="4" w:space="0" w:color="000000"/>
            </w:tcBorders>
          </w:tcPr>
          <w:p>
            <w:pPr>
              <w:pStyle w:val="Tabelleninhalt"/>
              <w:widowControl w:val="false"/>
              <w:spacing w:before="0" w:after="160"/>
              <w:rPr>
                <w:sz w:val="20"/>
                <w:szCs w:val="20"/>
              </w:rPr>
            </w:pPr>
            <w:r>
              <w:rPr>
                <w:sz w:val="20"/>
                <w:szCs w:val="20"/>
              </w:rPr>
              <w:t>25 minuta</w:t>
            </w:r>
          </w:p>
        </w:tc>
        <w:tc>
          <w:tcPr>
            <w:tcW w:w="1644" w:type="dxa"/>
            <w:tcBorders>
              <w:top w:val="single" w:sz="4" w:space="0" w:color="000000"/>
              <w:left w:val="single" w:sz="4" w:space="0" w:color="000000"/>
              <w:bottom w:val="single" w:sz="4" w:space="0" w:color="000000"/>
            </w:tcBorders>
          </w:tcPr>
          <w:p>
            <w:pPr>
              <w:pStyle w:val="Tabelleninhalt"/>
              <w:widowControl w:val="false"/>
              <w:spacing w:before="0" w:after="160"/>
              <w:rPr>
                <w:sz w:val="20"/>
                <w:szCs w:val="20"/>
              </w:rPr>
            </w:pPr>
            <w:r>
              <w:rPr>
                <w:sz w:val="20"/>
                <w:szCs w:val="20"/>
              </w:rPr>
              <w:t>Pokretanje igre</w:t>
            </w:r>
          </w:p>
        </w:tc>
        <w:tc>
          <w:tcPr>
            <w:tcW w:w="4201" w:type="dxa"/>
            <w:tcBorders>
              <w:top w:val="single" w:sz="4" w:space="0" w:color="000000"/>
              <w:left w:val="single" w:sz="4" w:space="0" w:color="000000"/>
              <w:bottom w:val="single" w:sz="4" w:space="0" w:color="000000"/>
            </w:tcBorders>
          </w:tcPr>
          <w:p>
            <w:pPr>
              <w:pStyle w:val="Tabelleninhalt"/>
              <w:widowControl w:val="false"/>
              <w:numPr>
                <w:ilvl w:val="0"/>
                <w:numId w:val="26"/>
              </w:numPr>
              <w:rPr>
                <w:sz w:val="20"/>
                <w:szCs w:val="20"/>
              </w:rPr>
            </w:pPr>
            <w:r>
              <w:rPr>
                <w:sz w:val="20"/>
                <w:szCs w:val="20"/>
              </w:rPr>
              <w:t>Upoznajte se s pozadinskom pričom i materijalom predviđenim za vašu ulogu.</w:t>
            </w:r>
          </w:p>
          <w:p>
            <w:pPr>
              <w:pStyle w:val="Tabelleninhalt"/>
              <w:widowControl w:val="false"/>
              <w:numPr>
                <w:ilvl w:val="0"/>
                <w:numId w:val="59"/>
              </w:numPr>
              <w:spacing w:before="0" w:after="160"/>
              <w:rPr>
                <w:sz w:val="20"/>
                <w:szCs w:val="20"/>
              </w:rPr>
            </w:pPr>
            <w:r>
              <w:rPr>
                <w:sz w:val="20"/>
                <w:szCs w:val="20"/>
              </w:rPr>
              <w:t>Pripremite uvodnu riječ.</w:t>
            </w:r>
          </w:p>
        </w:tc>
        <w:tc>
          <w:tcPr>
            <w:tcW w:w="2041" w:type="dxa"/>
            <w:tcBorders>
              <w:top w:val="single" w:sz="4" w:space="0" w:color="000000"/>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Zajedno sa svojim timom sudionika.</w:t>
            </w:r>
          </w:p>
        </w:tc>
      </w:tr>
      <w:tr>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5 minuta</w:t>
            </w:r>
          </w:p>
        </w:tc>
        <w:tc>
          <w:tcPr>
            <w:tcW w:w="7886" w:type="dxa"/>
            <w:gridSpan w:val="3"/>
            <w:tcBorders>
              <w:left w:val="single" w:sz="4" w:space="0" w:color="000000"/>
              <w:bottom w:val="single" w:sz="4" w:space="0" w:color="000000"/>
              <w:right w:val="single" w:sz="4" w:space="0" w:color="000000"/>
            </w:tcBorders>
          </w:tcPr>
          <w:p>
            <w:pPr>
              <w:pStyle w:val="Tabelleninhalt"/>
              <w:widowControl w:val="false"/>
              <w:spacing w:before="0" w:after="160"/>
              <w:jc w:val="center"/>
              <w:rPr>
                <w:sz w:val="20"/>
                <w:szCs w:val="20"/>
              </w:rPr>
            </w:pPr>
            <w:r>
              <w:rPr>
                <w:sz w:val="20"/>
                <w:szCs w:val="20"/>
              </w:rPr>
              <w:t>Pauza</w:t>
            </w:r>
          </w:p>
        </w:tc>
      </w:tr>
      <w:tr>
        <w:trPr>
          <w:trHeight w:val="634" w:hRule="atLeast"/>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10 minuta</w:t>
            </w:r>
          </w:p>
        </w:tc>
        <w:tc>
          <w:tcPr>
            <w:tcW w:w="1644"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Uvodni krug</w:t>
            </w:r>
          </w:p>
        </w:tc>
        <w:tc>
          <w:tcPr>
            <w:tcW w:w="4201"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Svaki tim sudionika predstavlja uvodnu riječ.</w:t>
            </w:r>
          </w:p>
        </w:tc>
        <w:tc>
          <w:tcPr>
            <w:tcW w:w="2041" w:type="dxa"/>
            <w:tcBorders>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Plenarni</w:t>
            </w:r>
          </w:p>
        </w:tc>
      </w:tr>
      <w:tr>
        <w:trPr>
          <w:trHeight w:val="865" w:hRule="atLeast"/>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25 minuta</w:t>
            </w:r>
          </w:p>
        </w:tc>
        <w:tc>
          <w:tcPr>
            <w:tcW w:w="1644"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1. faza pregovora: bilateralna</w:t>
            </w:r>
          </w:p>
        </w:tc>
        <w:tc>
          <w:tcPr>
            <w:tcW w:w="4201"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Pregovori za različitim stolovima.</w:t>
            </w:r>
          </w:p>
        </w:tc>
        <w:tc>
          <w:tcPr>
            <w:tcW w:w="2041" w:type="dxa"/>
            <w:tcBorders>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Otvoren</w:t>
            </w:r>
          </w:p>
        </w:tc>
      </w:tr>
      <w:tr>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20 minuta</w:t>
            </w:r>
          </w:p>
        </w:tc>
        <w:tc>
          <w:tcPr>
            <w:tcW w:w="1644"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Faza pregovora 2: službeno</w:t>
            </w:r>
          </w:p>
        </w:tc>
        <w:tc>
          <w:tcPr>
            <w:tcW w:w="4201"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Moderirani pregovori i prilagodbe početnih izjava.</w:t>
            </w:r>
          </w:p>
        </w:tc>
        <w:tc>
          <w:tcPr>
            <w:tcW w:w="2041" w:type="dxa"/>
            <w:tcBorders>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Plenarni</w:t>
            </w:r>
          </w:p>
        </w:tc>
      </w:tr>
      <w:tr>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10 minuta</w:t>
            </w:r>
          </w:p>
        </w:tc>
        <w:tc>
          <w:tcPr>
            <w:tcW w:w="7886" w:type="dxa"/>
            <w:gridSpan w:val="3"/>
            <w:tcBorders>
              <w:left w:val="single" w:sz="4" w:space="0" w:color="000000"/>
              <w:bottom w:val="single" w:sz="4" w:space="0" w:color="000000"/>
              <w:right w:val="single" w:sz="4" w:space="0" w:color="000000"/>
            </w:tcBorders>
          </w:tcPr>
          <w:p>
            <w:pPr>
              <w:pStyle w:val="Tabelleninhalt"/>
              <w:widowControl w:val="false"/>
              <w:spacing w:before="0" w:after="160"/>
              <w:jc w:val="center"/>
              <w:rPr>
                <w:sz w:val="20"/>
                <w:szCs w:val="20"/>
              </w:rPr>
            </w:pPr>
            <w:r>
              <w:rPr>
                <w:sz w:val="20"/>
                <w:szCs w:val="20"/>
              </w:rPr>
              <w:t>prekid</w:t>
            </w:r>
          </w:p>
        </w:tc>
      </w:tr>
      <w:tr>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10 minuta</w:t>
            </w:r>
          </w:p>
        </w:tc>
        <w:tc>
          <w:tcPr>
            <w:tcW w:w="1644"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Završna runda</w:t>
            </w:r>
          </w:p>
        </w:tc>
        <w:tc>
          <w:tcPr>
            <w:tcW w:w="4201"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Glasovanje za ili protiv prijedloga koji su predstavili moderatori.</w:t>
            </w:r>
          </w:p>
        </w:tc>
        <w:tc>
          <w:tcPr>
            <w:tcW w:w="2041" w:type="dxa"/>
            <w:tcBorders>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Plenarni</w:t>
            </w:r>
          </w:p>
        </w:tc>
      </w:tr>
      <w:tr>
        <w:trPr/>
        <w:tc>
          <w:tcPr>
            <w:tcW w:w="1187" w:type="dxa"/>
            <w:tcBorders>
              <w:left w:val="single" w:sz="4" w:space="0" w:color="000000"/>
              <w:bottom w:val="single" w:sz="4" w:space="0" w:color="000000"/>
            </w:tcBorders>
          </w:tcPr>
          <w:p>
            <w:pPr>
              <w:pStyle w:val="Tabelleninhalt"/>
              <w:widowControl w:val="false"/>
              <w:spacing w:before="0" w:after="160"/>
              <w:rPr>
                <w:sz w:val="20"/>
                <w:szCs w:val="20"/>
              </w:rPr>
            </w:pPr>
            <w:r>
              <w:rPr>
                <w:sz w:val="20"/>
                <w:szCs w:val="20"/>
              </w:rPr>
              <w:t>25 minuta</w:t>
            </w:r>
          </w:p>
        </w:tc>
        <w:tc>
          <w:tcPr>
            <w:tcW w:w="7886" w:type="dxa"/>
            <w:gridSpan w:val="3"/>
            <w:tcBorders>
              <w:left w:val="single" w:sz="4" w:space="0" w:color="000000"/>
              <w:bottom w:val="single" w:sz="4" w:space="0" w:color="000000"/>
              <w:right w:val="single" w:sz="4" w:space="0" w:color="000000"/>
            </w:tcBorders>
          </w:tcPr>
          <w:p>
            <w:pPr>
              <w:pStyle w:val="Tabelleninhalt"/>
              <w:widowControl w:val="false"/>
              <w:spacing w:before="0" w:after="160"/>
              <w:rPr>
                <w:sz w:val="20"/>
                <w:szCs w:val="20"/>
              </w:rPr>
            </w:pPr>
            <w:r>
              <w:rPr>
                <w:sz w:val="20"/>
                <w:szCs w:val="20"/>
              </w:rPr>
              <w:t>Sumiranje/zaljučci igre</w:t>
            </w:r>
          </w:p>
        </w:tc>
      </w:tr>
    </w:tbl>
    <w:p>
      <w:pPr>
        <w:pStyle w:val="Normal"/>
        <w:spacing w:lineRule="auto" w:line="276"/>
        <w:rPr/>
      </w:pPr>
      <w:r>
        <w:rPr/>
      </w:r>
    </w:p>
    <w:p>
      <w:pPr>
        <w:pStyle w:val="Normal"/>
        <w:spacing w:lineRule="auto" w:line="276"/>
        <w:rPr/>
      </w:pPr>
      <w:r>
        <w:rPr>
          <w:u w:val="single"/>
        </w:rPr>
        <w:t>Četvrti korak:</w:t>
      </w:r>
      <w:r>
        <w:rPr/>
        <w:t xml:space="preserve"> Ukratko predstavite uloge u igri:</w:t>
      </w:r>
    </w:p>
    <w:p>
      <w:pPr>
        <w:pStyle w:val="Normal"/>
        <w:numPr>
          <w:ilvl w:val="0"/>
          <w:numId w:val="27"/>
        </w:numPr>
        <w:spacing w:lineRule="auto" w:line="240"/>
        <w:rPr/>
      </w:pPr>
      <w:r>
        <w:rPr/>
        <w:t>Predsjednik Uprave zračne luke</w:t>
      </w:r>
    </w:p>
    <w:p>
      <w:pPr>
        <w:pStyle w:val="Normal"/>
        <w:numPr>
          <w:ilvl w:val="0"/>
          <w:numId w:val="60"/>
        </w:numPr>
        <w:spacing w:lineRule="auto" w:line="240"/>
        <w:rPr/>
      </w:pPr>
      <w:r>
        <w:rPr/>
        <w:t>Izvršni direktor teretne tvrtke sa sjedištem u zračnoj luci</w:t>
      </w:r>
    </w:p>
    <w:p>
      <w:pPr>
        <w:pStyle w:val="Normal"/>
        <w:numPr>
          <w:ilvl w:val="0"/>
          <w:numId w:val="28"/>
        </w:numPr>
        <w:spacing w:lineRule="auto" w:line="240"/>
        <w:rPr/>
      </w:pPr>
      <w:r>
        <w:rPr/>
        <w:t>Voditelj istraživačkog projekta "klimatski prihvatljiv radni svijet"</w:t>
      </w:r>
    </w:p>
    <w:p>
      <w:pPr>
        <w:pStyle w:val="Normal"/>
        <w:numPr>
          <w:ilvl w:val="0"/>
          <w:numId w:val="61"/>
        </w:numPr>
        <w:spacing w:lineRule="auto" w:line="240"/>
        <w:rPr/>
      </w:pPr>
      <w:r>
        <w:rPr/>
        <w:t>Klimatska nevladina organizacija</w:t>
      </w:r>
    </w:p>
    <w:p>
      <w:pPr>
        <w:pStyle w:val="Normal"/>
        <w:numPr>
          <w:ilvl w:val="0"/>
          <w:numId w:val="62"/>
        </w:numPr>
        <w:spacing w:lineRule="auto" w:line="240"/>
        <w:rPr/>
      </w:pPr>
      <w:r>
        <w:rPr/>
        <w:t>Gradonačelnik grada Landingtona</w:t>
      </w:r>
    </w:p>
    <w:p>
      <w:pPr>
        <w:pStyle w:val="Normal"/>
        <w:numPr>
          <w:ilvl w:val="0"/>
          <w:numId w:val="63"/>
        </w:numPr>
        <w:spacing w:lineRule="auto" w:line="240"/>
        <w:rPr/>
      </w:pPr>
      <w:r>
        <w:rPr/>
        <w:t>Predsjednik radničkog vijeća</w:t>
      </w:r>
    </w:p>
    <w:p>
      <w:pPr>
        <w:pStyle w:val="Normal"/>
        <w:spacing w:lineRule="auto" w:line="276"/>
        <w:rPr>
          <w:u w:val="single"/>
        </w:rPr>
      </w:pPr>
      <w:r>
        <w:rPr>
          <w:u w:val="single"/>
        </w:rPr>
      </w:r>
    </w:p>
    <w:p>
      <w:pPr>
        <w:pStyle w:val="Normal"/>
        <w:spacing w:lineRule="auto" w:line="276"/>
        <w:rPr>
          <w:u w:val="single"/>
        </w:rPr>
      </w:pPr>
      <w:r>
        <w:rPr>
          <w:u w:val="single"/>
        </w:rPr>
        <w:t>Korak 5:</w:t>
      </w:r>
      <w:r>
        <w:rPr/>
        <w:t xml:space="preserve"> Predstavite objekt pregovora prikazivanjem tablice rezultata (vidi aktivnost 5a/ vodič za ispis). Spomenite da će tijekom igre VM (vanjski moderator) ispuniti ovu tablicu informacijama koje pružaju uloge. U uvodnim riječima od sudionika se traži da se pozabave svim kriterijima (navedenim u  redovima tablice) koji im se čine relevantnima.</w:t>
      </w:r>
    </w:p>
    <w:p>
      <w:pPr>
        <w:pStyle w:val="Normal"/>
        <w:spacing w:lineRule="auto" w:line="276"/>
        <w:rPr/>
      </w:pPr>
      <w:r>
        <w:rPr>
          <w:u w:val="single"/>
        </w:rPr>
        <w:t>Šesti korak:</w:t>
      </w:r>
      <w:r>
        <w:rPr/>
        <w:t xml:space="preserve"> Hitna pitanja?</w:t>
      </w:r>
    </w:p>
    <w:p>
      <w:pPr>
        <w:pStyle w:val="Normal"/>
        <w:spacing w:lineRule="auto" w:line="276"/>
        <w:rPr/>
      </w:pPr>
      <w:r>
        <w:rPr>
          <w:u w:val="single"/>
        </w:rPr>
        <w:t xml:space="preserve">Sedmi korak: </w:t>
      </w:r>
      <w:r>
        <w:rPr/>
        <w:t>Sada moderator dodjeljuje uloge sudionicima. Ovisno o broju sudionika, stavite dvije ili tri karte po ulozi u sredinu sobe. Sudionici nasumično odabiru karticu s ulogom.</w:t>
      </w:r>
    </w:p>
    <w:p>
      <w:pPr>
        <w:pStyle w:val="Normal"/>
        <w:spacing w:lineRule="auto" w:line="276"/>
        <w:rPr/>
      </w:pPr>
      <w:r>
        <w:rPr>
          <w:rFonts w:eastAsia="Times New Roman" w:cs="Times New Roman"/>
          <w:lang w:val="en-GB" w:eastAsia="de-AT"/>
        </w:rPr>
        <w:t>Ako trebate odabrati koja će uloga dobiti tri (ili više) sudionika, idite na "moćne/upečatljive" uloge kako biste zrcalili neujednačene odnose moći u stvarnom svijetu.</w:t>
      </w:r>
    </w:p>
    <w:p>
      <w:pPr>
        <w:pStyle w:val="Normal"/>
        <w:spacing w:lineRule="auto" w:line="276"/>
        <w:rPr/>
      </w:pPr>
      <w:r>
        <w:rPr/>
        <w:br/>
      </w:r>
      <w:r>
        <w:rPr>
          <w:b/>
          <w:bCs/>
        </w:rPr>
        <w:t>Općenite napomene:</w:t>
      </w:r>
    </w:p>
    <w:p>
      <w:pPr>
        <w:pStyle w:val="Normal"/>
        <w:spacing w:lineRule="auto" w:line="276"/>
        <w:rPr/>
      </w:pPr>
      <w:r>
        <w:rPr/>
        <w:t>Za moderatora: U idealnom slučaju, olakšavate ovu igru uloga formirajući tim od dvoje ljudi. Ako je moguće, podijelite se u dvije različite uloge:</w:t>
      </w:r>
    </w:p>
    <w:p>
      <w:pPr>
        <w:pStyle w:val="Normal"/>
        <w:numPr>
          <w:ilvl w:val="0"/>
          <w:numId w:val="29"/>
        </w:numPr>
        <w:spacing w:lineRule="auto" w:line="276"/>
        <w:rPr/>
      </w:pPr>
      <w:r>
        <w:rPr/>
        <w:t>Vanjski moderator (VM): Vanjski moderator izvan igre. VM je taj koji daje upute za ovu aktivnost, prati vrijeme i služi kao osoba za dodatna pojašnjenja za ljude koji imaju nedoumice izvan svojih uloga.</w:t>
      </w:r>
    </w:p>
    <w:p>
      <w:pPr>
        <w:pStyle w:val="Normal"/>
        <w:numPr>
          <w:ilvl w:val="0"/>
          <w:numId w:val="64"/>
        </w:numPr>
        <w:spacing w:lineRule="auto" w:line="276"/>
        <w:rPr/>
      </w:pPr>
      <w:r>
        <w:rPr/>
        <w:t>Moderator igre (MI): Moderator igre ima ulogu unutar same igre i ostaje u njoj dok se igra ne završi.</w:t>
      </w:r>
    </w:p>
    <w:p>
      <w:pPr>
        <w:pStyle w:val="Normal"/>
        <w:spacing w:lineRule="auto" w:line="276"/>
        <w:rPr>
          <w:rFonts w:eastAsia="Calibri" w:cs="Tahoma"/>
          <w:color w:val="0E101A"/>
        </w:rPr>
      </w:pPr>
      <w:r>
        <w:rPr>
          <w:rFonts w:eastAsia="Calibri" w:cs="Tahoma"/>
          <w:color w:val="0E101A"/>
        </w:rPr>
        <w:t>-&gt;Moderator ste Komisije za transformaciju. Kao takav, vaša je odgovornost voditi komisiju kroz proces pregovora i u konačnici iznijeti prvi prijedlog zajedničkog sporazuma.</w:t>
      </w:r>
    </w:p>
    <w:p>
      <w:pPr>
        <w:pStyle w:val="Normal"/>
        <w:spacing w:lineRule="auto" w:line="276"/>
        <w:rPr/>
      </w:pPr>
      <w:r>
        <w:rPr>
          <w:color w:val="0E101A"/>
        </w:rPr>
        <w:t xml:space="preserve">Vaš najvažniji zadatak je osigurati da svaki sudionici dobiju priliku govoriti i igrati prema pravilima igre. Možete biti smiješni ili strogi, povučeni ili ekstrovertirani – Osjećajte se slobodno igrati svoju ulogu i pronaći svoje mjesto u igri, imajući u vidu cilj igre. </w:t>
      </w:r>
    </w:p>
    <w:p>
      <w:pPr>
        <w:pStyle w:val="Normal"/>
        <w:spacing w:lineRule="auto" w:line="276"/>
        <w:rPr>
          <w:b/>
          <w:b/>
          <w:bCs/>
        </w:rPr>
      </w:pPr>
      <w:r>
        <w:rPr>
          <w:b/>
          <w:bCs/>
        </w:rPr>
        <w:t>Napomene za online implementaciju:</w:t>
      </w:r>
    </w:p>
    <w:p>
      <w:pPr>
        <w:pStyle w:val="Normal"/>
        <w:spacing w:lineRule="auto" w:line="276"/>
        <w:rPr>
          <w:color w:val="000000"/>
        </w:rPr>
      </w:pPr>
      <w:r>
        <w:rPr>
          <w:color w:val="000000"/>
        </w:rPr>
        <w:t>Korak 6: Možete pripremiti online ploču sa svim navedenim ulogama, a sudionici pišu svoja imena  ispod uloge koju žele igrati.</w:t>
      </w:r>
    </w:p>
    <w:p>
      <w:pPr>
        <w:pStyle w:val="Normal"/>
        <w:spacing w:lineRule="auto" w:line="276"/>
        <w:rPr>
          <w:color w:val="000000"/>
        </w:rPr>
      </w:pPr>
      <w:r>
        <w:rPr>
          <w:color w:val="000000"/>
        </w:rPr>
      </w:r>
    </w:p>
    <w:p>
      <w:pPr>
        <w:pStyle w:val="Berschrift2"/>
        <w:rPr/>
      </w:pPr>
      <w:r>
        <w:rPr/>
      </w:r>
      <w:r>
        <w:br w:type="page"/>
      </w:r>
    </w:p>
    <w:p>
      <w:pPr>
        <w:pStyle w:val="Berschrift2"/>
        <w:rPr/>
      </w:pPr>
      <w:r>
        <w:rPr/>
        <w:t>Aktivnost 4: Početak igre</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Tabelleninhalt"/>
              <w:widowControl w:val="false"/>
              <w:spacing w:lineRule="auto" w:line="240" w:before="0" w:after="0"/>
              <w:rPr>
                <w:rFonts w:ascii="Nunito" w:hAnsi="Nunito" w:eastAsia="Times New Roman" w:cs="Times New Roman"/>
                <w:color w:val="000000"/>
                <w:sz w:val="20"/>
                <w:szCs w:val="20"/>
                <w:lang w:val="en-GB" w:eastAsia="de-AT"/>
              </w:rPr>
            </w:pPr>
            <w:r>
              <w:rPr>
                <w:rFonts w:eastAsia="Times New Roman" w:cs="Times New Roman" w:ascii="Nunito" w:hAnsi="Nunito"/>
                <w:color w:val="000000"/>
                <w:sz w:val="20"/>
                <w:szCs w:val="20"/>
                <w:lang w:val="en-GB" w:eastAsia="de-AT"/>
              </w:rPr>
              <w:t>Upoznajemo se s zadanom pričom i materijalom predviđenim za ulogu. Svaki tim sudionika priprema uvodnu riječ.</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25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30"/>
              </w:numPr>
              <w:spacing w:lineRule="auto" w:line="240" w:before="0" w:after="0"/>
              <w:rPr>
                <w:rFonts w:eastAsia="Calibri"/>
                <w:sz w:val="20"/>
                <w:szCs w:val="20"/>
              </w:rPr>
            </w:pPr>
            <w:r>
              <w:rPr>
                <w:rFonts w:eastAsia="Calibri"/>
                <w:sz w:val="20"/>
                <w:szCs w:val="20"/>
              </w:rPr>
              <w:t>6 stolova sa stolnim karticama i dovoljno stolica</w:t>
            </w:r>
          </w:p>
          <w:p>
            <w:pPr>
              <w:pStyle w:val="Normal"/>
              <w:widowControl w:val="false"/>
              <w:numPr>
                <w:ilvl w:val="0"/>
                <w:numId w:val="65"/>
              </w:numPr>
              <w:spacing w:lineRule="auto" w:line="240" w:before="0" w:after="0"/>
              <w:rPr>
                <w:rFonts w:eastAsia="Calibri"/>
                <w:sz w:val="20"/>
                <w:szCs w:val="20"/>
              </w:rPr>
            </w:pPr>
            <w:r>
              <w:rPr>
                <w:rFonts w:eastAsia="Calibri"/>
                <w:sz w:val="20"/>
                <w:szCs w:val="20"/>
              </w:rPr>
              <w:t>upute za uvodnu riječ (pogledajte vodič za ispis)</w:t>
            </w:r>
          </w:p>
          <w:p>
            <w:pPr>
              <w:pStyle w:val="Normal"/>
              <w:widowControl w:val="false"/>
              <w:numPr>
                <w:ilvl w:val="0"/>
                <w:numId w:val="66"/>
              </w:numPr>
              <w:spacing w:lineRule="auto" w:line="240" w:before="0" w:after="0"/>
              <w:rPr>
                <w:rFonts w:eastAsia="Calibri"/>
                <w:sz w:val="20"/>
                <w:szCs w:val="20"/>
              </w:rPr>
            </w:pPr>
            <w:r>
              <w:rPr>
                <w:rFonts w:eastAsia="Calibri"/>
                <w:sz w:val="20"/>
                <w:szCs w:val="20"/>
              </w:rPr>
              <w:t>Za svakog sudionika:</w:t>
            </w:r>
          </w:p>
          <w:p>
            <w:pPr>
              <w:pStyle w:val="Normal"/>
              <w:widowControl w:val="false"/>
              <w:numPr>
                <w:ilvl w:val="0"/>
                <w:numId w:val="31"/>
              </w:numPr>
              <w:spacing w:lineRule="auto" w:line="240" w:before="0" w:after="0"/>
              <w:rPr>
                <w:rFonts w:eastAsia="Calibri"/>
                <w:sz w:val="20"/>
                <w:szCs w:val="20"/>
              </w:rPr>
            </w:pPr>
            <w:r>
              <w:rPr>
                <w:rFonts w:eastAsia="Calibri"/>
                <w:sz w:val="20"/>
                <w:szCs w:val="20"/>
              </w:rPr>
              <w:t>Zadana priča (pogledajte vodič za ispis)</w:t>
            </w:r>
          </w:p>
          <w:p>
            <w:pPr>
              <w:pStyle w:val="Normal"/>
              <w:widowControl w:val="false"/>
              <w:numPr>
                <w:ilvl w:val="0"/>
                <w:numId w:val="67"/>
              </w:numPr>
              <w:spacing w:lineRule="auto" w:line="240" w:before="0" w:after="0"/>
              <w:rPr>
                <w:rFonts w:eastAsia="Calibri"/>
                <w:sz w:val="20"/>
                <w:szCs w:val="20"/>
              </w:rPr>
            </w:pPr>
            <w:r>
              <w:rPr>
                <w:rFonts w:eastAsia="Calibri"/>
                <w:sz w:val="20"/>
                <w:szCs w:val="20"/>
              </w:rPr>
              <w:t>Opis uloge (pogledajte vodič za ispis)</w:t>
            </w:r>
          </w:p>
          <w:p>
            <w:pPr>
              <w:pStyle w:val="Normal"/>
              <w:widowControl w:val="false"/>
              <w:numPr>
                <w:ilvl w:val="0"/>
                <w:numId w:val="68"/>
              </w:numPr>
              <w:spacing w:lineRule="auto" w:line="240" w:before="0" w:after="0"/>
              <w:rPr>
                <w:rFonts w:eastAsia="Calibri"/>
                <w:sz w:val="20"/>
                <w:szCs w:val="20"/>
              </w:rPr>
            </w:pPr>
            <w:r>
              <w:rPr>
                <w:rFonts w:eastAsia="Calibri"/>
                <w:sz w:val="20"/>
                <w:szCs w:val="20"/>
              </w:rPr>
              <w:t>Prazna naljepnica/kartica s imenom</w:t>
            </w:r>
          </w:p>
        </w:tc>
      </w:tr>
    </w:tbl>
    <w:p>
      <w:pPr>
        <w:pStyle w:val="Normal"/>
        <w:rPr/>
      </w:pPr>
      <w:r>
        <w:rPr/>
      </w:r>
    </w:p>
    <w:p>
      <w:pPr>
        <w:pStyle w:val="Normal"/>
        <w:rPr/>
      </w:pPr>
      <w:r>
        <w:rPr/>
        <w:t>Za ovu aktivnost sudionici sjede zajedno kao tim kako bi pročitali priču (Dodatak 3. i vodič za ispis) i opise svojih uloga (vodič za ispis). Tada mogu razgovarati o svojoj uvodnoj riječi (1 minuta max.!) i odabranoj strategiji za igru. Svaki tim treba odabrati jednu osobu koja će dati izjavu u uvodnom krugu.</w:t>
        <w:br/>
        <w:br/>
        <w:t>Uvodna riječ trebala bi uključivati:</w:t>
      </w:r>
    </w:p>
    <w:p>
      <w:pPr>
        <w:pStyle w:val="Normal"/>
        <w:numPr>
          <w:ilvl w:val="0"/>
          <w:numId w:val="32"/>
        </w:numPr>
        <w:rPr/>
      </w:pPr>
      <w:r>
        <w:rPr/>
        <w:t>Tko smo mi i kakav je naš opći stav u vezi demontaže zračne luke?</w:t>
      </w:r>
    </w:p>
    <w:p>
      <w:pPr>
        <w:pStyle w:val="Normal"/>
        <w:numPr>
          <w:ilvl w:val="0"/>
          <w:numId w:val="69"/>
        </w:numPr>
        <w:rPr/>
      </w:pPr>
      <w:r>
        <w:rPr/>
        <w:t>Koji su najvažniji uvjeti za nas da pristanemo na demotažu? (razmislite o recima u tablici rezultata!)</w:t>
      </w:r>
    </w:p>
    <w:p>
      <w:pPr>
        <w:pStyle w:val="Normal"/>
        <w:numPr>
          <w:ilvl w:val="0"/>
          <w:numId w:val="70"/>
        </w:numPr>
        <w:rPr/>
      </w:pPr>
      <w:r>
        <w:rPr/>
        <w:t>Koliko obvezujuće smanjenje zračnog prometa predlažemo za 2030. i 2035.? - &gt; konkretne brojeve.</w:t>
      </w:r>
    </w:p>
    <w:p>
      <w:pPr>
        <w:pStyle w:val="Normal"/>
        <w:rPr>
          <w:b/>
          <w:b/>
          <w:bCs/>
        </w:rPr>
      </w:pPr>
      <w:r>
        <w:rPr>
          <w:b/>
          <w:bCs/>
        </w:rPr>
        <w:t>Općenite napomene:</w:t>
      </w:r>
    </w:p>
    <w:p>
      <w:pPr>
        <w:pStyle w:val="Normal"/>
        <w:rPr/>
      </w:pPr>
      <w:r>
        <w:rPr/>
        <w:t>Svaki sudionik dobiva naljepnicu/karticu s imenom, gdje može zapisati fiktivno ime i svoju funkciju u igri (= svoju ulogu).</w:t>
      </w:r>
    </w:p>
    <w:p>
      <w:pPr>
        <w:pStyle w:val="Normal"/>
        <w:spacing w:lineRule="auto" w:line="276"/>
        <w:rPr>
          <w:b/>
          <w:b/>
          <w:bCs/>
        </w:rPr>
      </w:pPr>
      <w:r>
        <w:rPr>
          <w:b/>
          <w:bCs/>
        </w:rPr>
        <w:t>Napomene za implementaciju online:</w:t>
      </w:r>
    </w:p>
    <w:p>
      <w:pPr>
        <w:pStyle w:val="ListParagraph"/>
        <w:numPr>
          <w:ilvl w:val="0"/>
          <w:numId w:val="33"/>
        </w:numPr>
        <w:spacing w:lineRule="auto" w:line="276"/>
        <w:rPr/>
      </w:pPr>
      <w:r>
        <w:rPr/>
        <w:t>Osigurajte šest virtualnih soba za različite timove.</w:t>
      </w:r>
    </w:p>
    <w:p>
      <w:pPr>
        <w:pStyle w:val="ListParagraph"/>
        <w:numPr>
          <w:ilvl w:val="0"/>
          <w:numId w:val="71"/>
        </w:numPr>
        <w:spacing w:lineRule="auto" w:line="276"/>
        <w:rPr/>
      </w:pPr>
      <w:r>
        <w:rPr/>
        <w:t>Zatražite od sudionika da promijene svoja imena u skladu sa svojim ulogama.</w:t>
      </w:r>
    </w:p>
    <w:p>
      <w:pPr>
        <w:pStyle w:val="Normal"/>
        <w:widowControl w:val="false"/>
        <w:spacing w:lineRule="auto" w:line="240" w:before="0" w:after="0"/>
        <w:rPr/>
      </w:pPr>
      <w:r>
        <w:rPr/>
      </w:r>
    </w:p>
    <w:p>
      <w:pPr>
        <w:pStyle w:val="Berschrift2"/>
        <w:rPr/>
      </w:pPr>
      <w:r>
        <w:rPr/>
        <w:t>Pauza 5 minuta</w:t>
      </w:r>
      <w:r>
        <w:rPr>
          <w:b/>
          <w:bCs/>
          <w:color w:val="000000"/>
          <w:szCs w:val="28"/>
        </w:rPr>
        <w:br/>
      </w:r>
    </w:p>
    <w:p>
      <w:pPr>
        <w:pStyle w:val="Berschrift2"/>
        <w:rPr/>
      </w:pPr>
      <w:r>
        <w:rPr/>
      </w:r>
      <w:r>
        <w:br w:type="page"/>
      </w:r>
    </w:p>
    <w:p>
      <w:pPr>
        <w:pStyle w:val="Berschrift2"/>
        <w:rPr/>
      </w:pPr>
      <w:r>
        <w:rPr/>
        <w:t>Aktivnost 5a: Otvaranje kruga</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ascii="Nunito" w:hAnsi="Nunito" w:eastAsia="Times New Roman" w:cs="Times New Roman"/>
                <w:color w:val="000000"/>
                <w:sz w:val="20"/>
                <w:szCs w:val="20"/>
                <w:lang w:val="en-GB" w:eastAsia="de-AT"/>
              </w:rPr>
            </w:pPr>
            <w:r>
              <w:rPr>
                <w:rFonts w:eastAsia="Times New Roman" w:cs="Times New Roman" w:ascii="Nunito" w:hAnsi="Nunito"/>
                <w:color w:val="000000"/>
                <w:sz w:val="20"/>
                <w:szCs w:val="20"/>
                <w:lang w:val="en-GB" w:eastAsia="de-AT"/>
              </w:rPr>
              <w:t>Svaki tim sudionika daje prvu izjavu o svom stajalištu u vezi s demontažom zračne luke u Landingtonu.</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10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Materijali</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34"/>
              </w:numPr>
              <w:spacing w:lineRule="auto" w:line="240" w:before="0" w:after="0"/>
              <w:rPr/>
            </w:pPr>
            <w:r>
              <w:rPr>
                <w:rFonts w:eastAsia="Calibri"/>
                <w:sz w:val="20"/>
                <w:szCs w:val="20"/>
              </w:rPr>
              <w:t>Mjerač vremena(štoperica) za praćenje duljine izjave (za MI)</w:t>
            </w:r>
          </w:p>
          <w:p>
            <w:pPr>
              <w:pStyle w:val="Normal"/>
              <w:widowControl w:val="false"/>
              <w:numPr>
                <w:ilvl w:val="0"/>
                <w:numId w:val="72"/>
              </w:numPr>
              <w:spacing w:lineRule="auto" w:line="240" w:before="0" w:after="0"/>
              <w:rPr>
                <w:rFonts w:eastAsia="Calibri"/>
                <w:sz w:val="20"/>
                <w:szCs w:val="20"/>
              </w:rPr>
            </w:pPr>
            <w:r>
              <w:rPr>
                <w:rFonts w:eastAsia="Calibri"/>
                <w:sz w:val="20"/>
                <w:szCs w:val="20"/>
              </w:rPr>
              <w:t>tablica rezultata</w:t>
            </w:r>
          </w:p>
        </w:tc>
      </w:tr>
    </w:tbl>
    <w:p>
      <w:pPr>
        <w:pStyle w:val="Normal"/>
        <w:rPr/>
      </w:pPr>
      <w:r>
        <w:rPr/>
      </w:r>
    </w:p>
    <w:p>
      <w:pPr>
        <w:pStyle w:val="Normal"/>
        <w:rPr/>
      </w:pPr>
      <w:r>
        <w:rPr/>
        <w:t>MI (moderator igre):</w:t>
      </w:r>
      <w:r>
        <w:rPr>
          <w:rFonts w:eastAsia="Times New Roman" w:cs="Times New Roman" w:ascii="Nunito" w:hAnsi="Nunito"/>
          <w:color w:val="000000"/>
          <w:sz w:val="20"/>
          <w:szCs w:val="20"/>
          <w:lang w:val="en-GB" w:eastAsia="de-AT"/>
        </w:rPr>
        <w:t xml:space="preserve"> </w:t>
      </w:r>
      <w:r>
        <w:rPr/>
        <w:t>Pozdravljate sve članove povjerenstva za transformaciju i kažete nekoliko rečenica o okruženju (gdje smo/ koja je svrha ovog sastanka itd.) Zatim pozivate timove sudionika da daju uvodnu riječ.</w:t>
      </w:r>
    </w:p>
    <w:p>
      <w:pPr>
        <w:pStyle w:val="Normal"/>
        <w:rPr/>
      </w:pPr>
      <w:r>
        <w:rPr/>
        <w:br/>
        <w:t>VM: Zapisujete informacije koje dobivate iz uvodnih riječi o prijedlogu za smanjenje letova do 2030. odnosno 2035., kao i uvjete za ispunjavanje ciljeva smanjenja leta. Korisno je koristiti veliki komad papira / poster papira tijekom igre, gdje možete zapisati sve važne točke koje će koristiti svi članovi komisije tijekom pregovaračkih krugova.</w:t>
      </w:r>
    </w:p>
    <w:p>
      <w:pPr>
        <w:pStyle w:val="Normal"/>
        <w:rPr/>
      </w:pPr>
      <w:r>
        <w:rPr/>
        <w:br/>
        <w:t>Za strukturiranje tih informacija koristite sljedeću tablicu rezultata:</w:t>
      </w:r>
    </w:p>
    <w:p>
      <w:pPr>
        <w:pStyle w:val="Normal"/>
        <w:rPr>
          <w:rFonts w:ascii="Quincy CF" w:hAnsi="Quincy CF" w:eastAsia="Quincy CF" w:cs="Quincy CF"/>
          <w:vanish/>
        </w:rPr>
      </w:pPr>
      <w:r>
        <w:rPr>
          <w:rFonts w:eastAsia="Quincy CF" w:cs="Quincy CF"/>
          <w:vanish/>
        </w:rPr>
      </w:r>
      <w:r>
        <w:br w:type="page"/>
      </w:r>
    </w:p>
    <w:tbl>
      <w:tblPr>
        <w:tblW w:w="9072" w:type="dxa"/>
        <w:jc w:val="left"/>
        <w:tblInd w:w="5" w:type="dxa"/>
        <w:tblLayout w:type="fixed"/>
        <w:tblCellMar>
          <w:top w:w="55" w:type="dxa"/>
          <w:left w:w="55" w:type="dxa"/>
          <w:bottom w:w="55" w:type="dxa"/>
          <w:right w:w="55" w:type="dxa"/>
        </w:tblCellMar>
        <w:tblLook w:firstRow="0" w:noVBand="0" w:lastRow="0" w:firstColumn="0" w:lastColumn="0" w:noHBand="0" w:val="0000"/>
      </w:tblPr>
      <w:tblGrid>
        <w:gridCol w:w="1133"/>
        <w:gridCol w:w="1077"/>
        <w:gridCol w:w="1324"/>
        <w:gridCol w:w="1001"/>
        <w:gridCol w:w="1134"/>
        <w:gridCol w:w="1134"/>
        <w:gridCol w:w="1134"/>
        <w:gridCol w:w="1134"/>
      </w:tblGrid>
      <w:tr>
        <w:trPr/>
        <w:tc>
          <w:tcPr>
            <w:tcW w:w="1133" w:type="dxa"/>
            <w:tcBorders>
              <w:top w:val="single" w:sz="4" w:space="0" w:color="000000"/>
              <w:left w:val="single" w:sz="4" w:space="0" w:color="000000"/>
              <w:bottom w:val="single" w:sz="4" w:space="0" w:color="000000"/>
            </w:tcBorders>
            <w:shd w:color="auto" w:fill="DDDDDD" w:val="clear"/>
          </w:tcPr>
          <w:p>
            <w:pPr>
              <w:pStyle w:val="Tabelleninhalt"/>
              <w:pageBreakBefore/>
              <w:widowControl w:val="false"/>
              <w:spacing w:before="0" w:after="160"/>
              <w:rPr>
                <w:sz w:val="20"/>
                <w:szCs w:val="20"/>
              </w:rPr>
            </w:pPr>
            <w:r>
              <w:rPr>
                <w:sz w:val="20"/>
                <w:szCs w:val="20"/>
              </w:rPr>
            </w:r>
          </w:p>
        </w:tc>
        <w:tc>
          <w:tcPr>
            <w:tcW w:w="1077"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r>
          </w:p>
        </w:tc>
        <w:tc>
          <w:tcPr>
            <w:tcW w:w="1324"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gradonačelnik</w:t>
            </w:r>
          </w:p>
        </w:tc>
        <w:tc>
          <w:tcPr>
            <w:tcW w:w="1001"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Zračna luka Izvršni direktor</w:t>
            </w:r>
          </w:p>
        </w:tc>
        <w:tc>
          <w:tcPr>
            <w:tcW w:w="1134"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CEO Freight-Company</w:t>
            </w:r>
          </w:p>
        </w:tc>
        <w:tc>
          <w:tcPr>
            <w:tcW w:w="1134"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naučnik</w:t>
            </w:r>
          </w:p>
        </w:tc>
        <w:tc>
          <w:tcPr>
            <w:tcW w:w="1134" w:type="dxa"/>
            <w:tcBorders>
              <w:top w:val="single" w:sz="4" w:space="0" w:color="000000"/>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Sindikat</w:t>
            </w:r>
          </w:p>
        </w:tc>
        <w:tc>
          <w:tcPr>
            <w:tcW w:w="1134" w:type="dxa"/>
            <w:tcBorders>
              <w:top w:val="single" w:sz="4" w:space="0" w:color="000000"/>
              <w:left w:val="single" w:sz="4" w:space="0" w:color="000000"/>
              <w:bottom w:val="single" w:sz="4" w:space="0" w:color="000000"/>
              <w:right w:val="single" w:sz="4" w:space="0" w:color="000000"/>
            </w:tcBorders>
            <w:shd w:color="auto" w:fill="DDDDDD" w:val="clear"/>
          </w:tcPr>
          <w:p>
            <w:pPr>
              <w:pStyle w:val="Tabelleninhalt"/>
              <w:widowControl w:val="false"/>
              <w:spacing w:before="0" w:after="160"/>
              <w:rPr>
                <w:sz w:val="20"/>
                <w:szCs w:val="20"/>
              </w:rPr>
            </w:pPr>
            <w:r>
              <w:rPr>
                <w:sz w:val="20"/>
                <w:szCs w:val="20"/>
              </w:rPr>
              <w:t>Nevladine organizacije</w:t>
            </w:r>
          </w:p>
        </w:tc>
      </w:tr>
      <w:tr>
        <w:trPr/>
        <w:tc>
          <w:tcPr>
            <w:tcW w:w="1133" w:type="dxa"/>
            <w:vMerge w:val="restart"/>
            <w:tcBorders>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Smanjenje letova [u %]</w:t>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Uvodna riječ</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 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r>
      <w:tr>
        <w:trPr/>
        <w:tc>
          <w:tcPr>
            <w:tcW w:w="1133" w:type="dxa"/>
            <w:vMerge w:val="continue"/>
            <w:tcBorders>
              <w:left w:val="single" w:sz="4" w:space="0" w:color="000000"/>
              <w:bottom w:val="single" w:sz="4" w:space="0" w:color="000000"/>
            </w:tcBorders>
            <w:shd w:color="auto" w:fill="DDDDDD" w:val="clear"/>
          </w:tcPr>
          <w:p>
            <w:pPr>
              <w:pStyle w:val="Normal"/>
              <w:widowControl w:val="false"/>
              <w:spacing w:before="0" w:after="160"/>
              <w:rPr/>
            </w:pPr>
            <w:r>
              <w:rPr/>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Prilagodba nakon pregovora</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16"/>
                <w:szCs w:val="16"/>
              </w:rPr>
            </w:pPr>
            <w:r>
              <w:rPr>
                <w:sz w:val="16"/>
                <w:szCs w:val="16"/>
              </w:rPr>
              <w:t>Do 2030.: X%</w:t>
              <w:br/>
              <w:t>Do 2035.: Y%</w:t>
            </w:r>
          </w:p>
        </w:tc>
      </w:tr>
      <w:tr>
        <w:trPr/>
        <w:tc>
          <w:tcPr>
            <w:tcW w:w="1133" w:type="dxa"/>
            <w:vMerge w:val="restart"/>
            <w:tcBorders>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Daljnje mjeren za smanjenje emisija</w:t>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Uvodna riječ</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continue"/>
            <w:tcBorders>
              <w:left w:val="single" w:sz="4" w:space="0" w:color="000000"/>
              <w:bottom w:val="single" w:sz="4" w:space="0" w:color="000000"/>
            </w:tcBorders>
            <w:shd w:color="auto" w:fill="DDDDDD" w:val="clear"/>
          </w:tcPr>
          <w:p>
            <w:pPr>
              <w:pStyle w:val="Normal"/>
              <w:widowControl w:val="false"/>
              <w:spacing w:before="0" w:after="160"/>
              <w:rPr/>
            </w:pPr>
            <w:r>
              <w:rPr/>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Prilagodba nakon pregovora</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restart"/>
            <w:tcBorders>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(Re)obuka i naknade za zaposlenike</w:t>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Uvodna riječ</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continue"/>
            <w:tcBorders>
              <w:left w:val="single" w:sz="4" w:space="0" w:color="000000"/>
              <w:bottom w:val="single" w:sz="4" w:space="0" w:color="000000"/>
            </w:tcBorders>
            <w:shd w:color="auto" w:fill="DDDDDD" w:val="clear"/>
          </w:tcPr>
          <w:p>
            <w:pPr>
              <w:pStyle w:val="Normal"/>
              <w:widowControl w:val="false"/>
              <w:spacing w:before="0" w:after="160"/>
              <w:rPr/>
            </w:pPr>
            <w:r>
              <w:rPr/>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Prilagodba nakon pregovora</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restart"/>
            <w:tcBorders>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Naknade za tvrtke u zračnoj luci</w:t>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Uvodna riječ</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continue"/>
            <w:tcBorders>
              <w:left w:val="single" w:sz="4" w:space="0" w:color="000000"/>
              <w:bottom w:val="single" w:sz="4" w:space="0" w:color="000000"/>
            </w:tcBorders>
            <w:shd w:color="auto" w:fill="DDDDDD" w:val="clear"/>
          </w:tcPr>
          <w:p>
            <w:pPr>
              <w:pStyle w:val="Normal"/>
              <w:widowControl w:val="false"/>
              <w:spacing w:before="0" w:after="160"/>
              <w:rPr/>
            </w:pPr>
            <w:r>
              <w:rPr/>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Prilagodba nakon pregovora</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pPr>
            <w:r>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restart"/>
            <w:tcBorders>
              <w:left w:val="single" w:sz="4" w:space="0" w:color="000000"/>
              <w:bottom w:val="single" w:sz="4" w:space="0" w:color="000000"/>
            </w:tcBorders>
            <w:shd w:color="auto" w:fill="DDDDDD" w:val="clear"/>
          </w:tcPr>
          <w:p>
            <w:pPr>
              <w:pStyle w:val="Tabelleninhalt"/>
              <w:widowControl w:val="false"/>
              <w:spacing w:before="0" w:after="160"/>
              <w:rPr>
                <w:sz w:val="20"/>
                <w:szCs w:val="20"/>
              </w:rPr>
            </w:pPr>
            <w:r>
              <w:rPr>
                <w:sz w:val="20"/>
                <w:szCs w:val="20"/>
              </w:rPr>
              <w:t>Javna ulaganja u ostale podružnice u regiji</w:t>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Uvodna riječ</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r>
        <w:trPr/>
        <w:tc>
          <w:tcPr>
            <w:tcW w:w="1133" w:type="dxa"/>
            <w:vMerge w:val="continue"/>
            <w:tcBorders>
              <w:left w:val="single" w:sz="4" w:space="0" w:color="000000"/>
              <w:bottom w:val="single" w:sz="4" w:space="0" w:color="000000"/>
            </w:tcBorders>
            <w:shd w:color="auto" w:fill="DDDDDD" w:val="clear"/>
          </w:tcPr>
          <w:p>
            <w:pPr>
              <w:pStyle w:val="Normal"/>
              <w:widowControl w:val="false"/>
              <w:spacing w:before="0" w:after="160"/>
              <w:rPr/>
            </w:pPr>
            <w:r>
              <w:rPr/>
            </w:r>
          </w:p>
        </w:tc>
        <w:tc>
          <w:tcPr>
            <w:tcW w:w="1077" w:type="dxa"/>
            <w:tcBorders>
              <w:left w:val="single" w:sz="4" w:space="0" w:color="000000"/>
              <w:bottom w:val="single" w:sz="4" w:space="0" w:color="000000"/>
            </w:tcBorders>
            <w:shd w:color="auto" w:fill="auto" w:val="clear"/>
          </w:tcPr>
          <w:p>
            <w:pPr>
              <w:pStyle w:val="Tabelleninhalt"/>
              <w:widowControl w:val="false"/>
              <w:spacing w:before="0" w:after="160"/>
              <w:rPr>
                <w:sz w:val="18"/>
                <w:szCs w:val="18"/>
              </w:rPr>
            </w:pPr>
            <w:r>
              <w:rPr>
                <w:sz w:val="18"/>
                <w:szCs w:val="18"/>
              </w:rPr>
              <w:t>Prilagodba nakon pregovora</w:t>
            </w:r>
          </w:p>
        </w:tc>
        <w:tc>
          <w:tcPr>
            <w:tcW w:w="132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001"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tcBorders>
            <w:shd w:color="auto" w:fill="auto" w:val="clear"/>
          </w:tcPr>
          <w:p>
            <w:pPr>
              <w:pStyle w:val="Tabelleninhalt"/>
              <w:widowControl w:val="false"/>
              <w:spacing w:before="0" w:after="160"/>
              <w:rPr>
                <w:sz w:val="20"/>
                <w:szCs w:val="20"/>
              </w:rPr>
            </w:pPr>
            <w:r>
              <w:rPr>
                <w:sz w:val="20"/>
                <w:szCs w:val="20"/>
              </w:rPr>
            </w:r>
          </w:p>
        </w:tc>
        <w:tc>
          <w:tcPr>
            <w:tcW w:w="1134" w:type="dxa"/>
            <w:tcBorders>
              <w:left w:val="single" w:sz="4" w:space="0" w:color="000000"/>
              <w:bottom w:val="single" w:sz="4" w:space="0" w:color="000000"/>
              <w:right w:val="single" w:sz="4" w:space="0" w:color="000000"/>
            </w:tcBorders>
            <w:shd w:color="auto" w:fill="auto" w:val="clear"/>
          </w:tcPr>
          <w:p>
            <w:pPr>
              <w:pStyle w:val="Tabelleninhalt"/>
              <w:widowControl w:val="false"/>
              <w:spacing w:before="0" w:after="160"/>
              <w:rPr>
                <w:sz w:val="20"/>
                <w:szCs w:val="20"/>
              </w:rPr>
            </w:pPr>
            <w:r>
              <w:rPr>
                <w:sz w:val="20"/>
                <w:szCs w:val="20"/>
              </w:rPr>
            </w:r>
          </w:p>
        </w:tc>
      </w:tr>
    </w:tbl>
    <w:p>
      <w:pPr>
        <w:pStyle w:val="Normal"/>
        <w:rPr/>
      </w:pPr>
      <w:r>
        <w:rPr/>
      </w:r>
    </w:p>
    <w:p>
      <w:pPr>
        <w:pStyle w:val="Normal"/>
        <w:rPr/>
      </w:pPr>
      <w:r>
        <w:rPr>
          <w:b/>
          <w:bCs/>
        </w:rPr>
        <w:t>Općenite napomene:</w:t>
        <w:br/>
      </w:r>
      <w:r>
        <w:rPr/>
        <w:t>Nijedna izjava ne bi trebala trajati dulje od 1 minute. MI: Nakon 50 sekundi osobi koja govori možete dati znak; nakon jedne minute pristojno prekidate osobu koja daje izjavu i predajete je sljedećoj osobi.</w:t>
      </w:r>
    </w:p>
    <w:p>
      <w:pPr>
        <w:pStyle w:val="Normal"/>
        <w:widowControl w:val="false"/>
        <w:spacing w:lineRule="auto" w:line="240" w:before="0" w:after="0"/>
        <w:rPr/>
      </w:pPr>
      <w:r>
        <w:rPr/>
      </w:r>
    </w:p>
    <w:p>
      <w:pPr>
        <w:pStyle w:val="Berschrift2"/>
        <w:rPr/>
      </w:pPr>
      <w:r>
        <w:rPr/>
      </w:r>
      <w:r>
        <w:br w:type="page"/>
      </w:r>
    </w:p>
    <w:p>
      <w:pPr>
        <w:pStyle w:val="Berschrift2"/>
        <w:rPr/>
      </w:pPr>
      <w:r>
        <w:rPr/>
        <w:t>Aktivnost 5.b: Pregovaračka faza 1 - Bilateralna</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Sudionici počinju međusobno pregovarati na temelju uvodne riječi slobodnim kretanjem između stolova.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25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73"/>
              </w:numPr>
              <w:spacing w:lineRule="auto" w:line="240" w:before="0" w:after="0"/>
              <w:rPr>
                <w:rFonts w:eastAsia="Calibri"/>
                <w:sz w:val="20"/>
                <w:szCs w:val="20"/>
              </w:rPr>
            </w:pPr>
            <w:r>
              <w:rPr>
                <w:rFonts w:eastAsia="Calibri"/>
                <w:sz w:val="20"/>
                <w:szCs w:val="20"/>
              </w:rPr>
              <w:t>Olovke i papir za sudionike koji će voditi bilješke tijekom pregovora</w:t>
            </w:r>
          </w:p>
        </w:tc>
      </w:tr>
    </w:tbl>
    <w:p>
      <w:pPr>
        <w:pStyle w:val="Normal"/>
        <w:rPr/>
      </w:pPr>
      <w:r>
        <w:rPr/>
      </w:r>
    </w:p>
    <w:p>
      <w:pPr>
        <w:pStyle w:val="Normal"/>
        <w:rPr/>
      </w:pPr>
      <w:r>
        <w:rPr/>
        <w:t>Sudionici počinju međusobno pregovarati na temelju uvodnih riječi. Oni se mogu razdvojiti i pronaći članove drugih timova kako bi pregovarali o konkretnim pitanjima slobodnim kretanjem između stolova.</w:t>
      </w:r>
    </w:p>
    <w:p>
      <w:pPr>
        <w:pStyle w:val="Normal"/>
        <w:rPr/>
      </w:pPr>
      <w:r>
        <w:rPr/>
        <w:t>Prije početka sljedeće faze, svaki tim trebao bi ukratko razmotriti svoju strategiju za sljedeću fazu pregovora, na temelju pregovora iz ovog kruga.</w:t>
      </w:r>
    </w:p>
    <w:p>
      <w:pPr>
        <w:pStyle w:val="Normal"/>
        <w:rPr/>
      </w:pPr>
      <w:r>
        <w:rPr>
          <w:b/>
          <w:bCs/>
        </w:rPr>
        <w:t>Općenite napomene:</w:t>
        <w:br/>
        <w:br/>
      </w:r>
      <w:r>
        <w:rPr/>
        <w:t>MI: Obavijestite sudionike kada je ostalo još samo pet minuta kako bi se mogli okupiti kao tim i diskutirati o svojima sljedećim koracima.</w:t>
      </w:r>
    </w:p>
    <w:p>
      <w:pPr>
        <w:pStyle w:val="Normal"/>
        <w:rPr/>
      </w:pPr>
      <w:r>
        <w:rPr>
          <w:b/>
          <w:bCs/>
        </w:rPr>
        <w:t>Napomene za online implementaciju:</w:t>
        <w:br/>
        <w:br/>
      </w:r>
      <w:r>
        <w:rPr/>
        <w:t>Odaberite softver za video konferencije koji sudionicima omogućuje samostalno prebacivanje između izdvojenih virtualnih soba!</w:t>
      </w:r>
    </w:p>
    <w:p>
      <w:pPr>
        <w:pStyle w:val="Berschrift2"/>
        <w:rPr/>
      </w:pPr>
      <w:r>
        <w:rPr/>
        <w:t>Aktivnost 5c: Pregovaračka faza 2 - Službeno</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Drugi dio pregovora je plenarna rasprava. Tijekom ove faze igrači mogu prilagoditi svoje početne izjave.</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20 minuta</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74"/>
              </w:numPr>
              <w:spacing w:lineRule="auto" w:line="240" w:before="0" w:after="0"/>
              <w:rPr/>
            </w:pPr>
            <w:r>
              <w:rPr>
                <w:rFonts w:eastAsia="Calibri"/>
                <w:sz w:val="20"/>
                <w:szCs w:val="20"/>
              </w:rPr>
              <w:t>Tablica rezultata</w:t>
            </w:r>
          </w:p>
        </w:tc>
      </w:tr>
    </w:tbl>
    <w:p>
      <w:pPr>
        <w:pStyle w:val="Normal"/>
        <w:rPr/>
      </w:pPr>
      <w:r>
        <w:rPr/>
      </w:r>
    </w:p>
    <w:p>
      <w:pPr>
        <w:pStyle w:val="Normal"/>
        <w:rPr/>
      </w:pPr>
      <w:r>
        <w:rPr/>
        <w:t>MI:</w:t>
        <w:br/>
      </w:r>
      <w:r>
        <w:rPr>
          <w:u w:val="single"/>
        </w:rPr>
        <w:t>Korak 1:</w:t>
      </w:r>
      <w:r>
        <w:rPr/>
        <w:t xml:space="preserve"> Dobrodošlica igračima u ovom službenom krugu pregovora.</w:t>
        <w:br/>
        <w:br/>
      </w:r>
      <w:r>
        <w:rPr>
          <w:u w:val="single"/>
        </w:rPr>
        <w:t>Korak 2:</w:t>
      </w:r>
      <w:r>
        <w:rPr/>
        <w:t xml:space="preserve"> Pitajte želi li bilo koji član povjerenstva prilagoditi početnu izjavu na temelju prvog kruga pregovora. Nakon što se oglasi svaki član komisije koji želi prilagoditi početnu izjavu, možete otvoriti prostor za daljnje pregovore. Lakše je pripremiti konačnu izjavu, kada moderator igre(MI) ovdje traži konkretne brojeve za npr. Isplate odštete:</w:t>
        <w:br/>
        <w:br/>
      </w:r>
    </w:p>
    <w:p>
      <w:pPr>
        <w:pStyle w:val="Normal"/>
        <w:rPr/>
      </w:pPr>
      <w:r>
        <w:rPr/>
        <w:t xml:space="preserve">VM: </w:t>
        <w:br/>
        <w:t>zabilježiti sve promjene izjava u tablici rezultata tako da promjene budu transparentne za sve sudionike.</w:t>
        <w:br/>
      </w:r>
    </w:p>
    <w:p>
      <w:pPr>
        <w:pStyle w:val="Normal"/>
        <w:rPr/>
      </w:pPr>
      <w:r>
        <w:rPr>
          <w:b/>
          <w:bCs/>
        </w:rPr>
        <w:t>Općenite napomene:</w:t>
        <w:br/>
        <w:br/>
      </w:r>
      <w:r>
        <w:rPr/>
        <w:t>Pobrinite se da svi dobiju priliku govoriti i podsjetite igrače da njihove izjave budu kratke i jednostavne. Jednostavna pravila moderiranja korisna su za ovu raspravu, npr. Sudionici podižu ruku ako žele nešto reći. Ova pravila možete uvesti na početku aktivnosti nakon pozdrava sudionika.</w:t>
      </w:r>
    </w:p>
    <w:p>
      <w:pPr>
        <w:pStyle w:val="Normal"/>
        <w:rPr/>
      </w:pPr>
      <w:r>
        <w:rPr>
          <w:b/>
          <w:bCs/>
        </w:rPr>
        <w:t>Napomene za online implementaciju:</w:t>
        <w:br/>
        <w:br/>
      </w:r>
      <w:r>
        <w:rPr/>
        <w:t>Prijedlog za pravila moderiranja chata možete pronaći u odjeljku</w:t>
      </w:r>
      <w:r>
        <w:rPr>
          <w:color w:val="000000"/>
        </w:rPr>
        <w:t xml:space="preserve"> dodatak 1.</w:t>
        <w:br/>
      </w:r>
    </w:p>
    <w:p>
      <w:pPr>
        <w:pStyle w:val="Berschrift2"/>
        <w:rPr/>
      </w:pPr>
      <w:r>
        <w:rPr/>
        <w:t>Pauza 10 minuta</w:t>
      </w:r>
    </w:p>
    <w:p>
      <w:pPr>
        <w:pStyle w:val="Normal"/>
        <w:rPr>
          <w:rFonts w:eastAsia="Calibri" w:cs="Tahoma"/>
          <w:color w:val="000000"/>
        </w:rPr>
      </w:pPr>
      <w:r>
        <w:rPr>
          <w:rFonts w:eastAsia="Calibri" w:cs="Tahoma"/>
          <w:color w:val="000000"/>
        </w:rPr>
      </w:r>
    </w:p>
    <w:p>
      <w:pPr>
        <w:pStyle w:val="Normal"/>
        <w:rPr/>
      </w:pPr>
      <w:r>
        <w:rPr>
          <w:rFonts w:eastAsia="Calibri" w:cs="Tahoma"/>
          <w:color w:val="000000"/>
        </w:rPr>
        <w:t>Nakon drugog kruga pregovora sudionici uzimaju pauzu od 10 minuta. Tijekom te stanke VM i MI pripremaju prijedlog konačne izjave. Da biste to učinili, koristite predložak u Dodatku 4. i umetnite ciljeve smanjenja i bočne uvjete na temelju rezultata pregovora.</w:t>
      </w:r>
    </w:p>
    <w:p>
      <w:pPr>
        <w:pStyle w:val="Normal"/>
        <w:numPr>
          <w:ilvl w:val="0"/>
          <w:numId w:val="35"/>
        </w:numPr>
        <w:rPr>
          <w:rFonts w:eastAsia="Calibri" w:cs="Tahoma"/>
          <w:color w:val="000000"/>
        </w:rPr>
      </w:pPr>
      <w:r>
        <w:rPr>
          <w:rFonts w:eastAsia="Calibri" w:cs="Tahoma"/>
          <w:color w:val="000000"/>
        </w:rPr>
        <w:t>Za smanjenje broja letova samo izračunavate prosjek konačnih izjava (prikupljenih u tablici rezultata).</w:t>
      </w:r>
    </w:p>
    <w:p>
      <w:pPr>
        <w:pStyle w:val="Normal"/>
        <w:numPr>
          <w:ilvl w:val="0"/>
          <w:numId w:val="75"/>
        </w:numPr>
        <w:rPr>
          <w:rFonts w:eastAsia="Calibri" w:cs="Tahoma"/>
          <w:color w:val="000000"/>
        </w:rPr>
      </w:pPr>
      <w:r>
        <w:rPr>
          <w:rFonts w:eastAsia="Calibri" w:cs="Tahoma"/>
          <w:color w:val="000000"/>
        </w:rPr>
        <w:t>Za ostalo morate odlučiti koje ćete tvrdnje i ideje uključiti u ovaj prijedlog konačne izjave. Napravite kompromise, gdje je to moguće.</w:t>
      </w:r>
    </w:p>
    <w:p>
      <w:pPr>
        <w:pStyle w:val="Normal"/>
        <w:rPr>
          <w:rFonts w:eastAsia="Calibri" w:cs="Tahoma"/>
          <w:color w:val="000000"/>
        </w:rPr>
      </w:pPr>
      <w:r>
        <w:rPr>
          <w:rFonts w:eastAsia="Calibri" w:cs="Tahoma"/>
          <w:color w:val="000000"/>
        </w:rPr>
        <w:t>To može biti izazovan zadatak. Imajte na umu da ne morate smisliti savršen prijedlog - to vjerojatno nije moguće i da rezultati nisu odlučujući faktor, već proces igre. Vrlo je korisno u svrhu glasovanja, ako možete zapisati središnje preporuke o kojima će se glasati na flip-chartu / u dijaprojekciji</w:t>
      </w:r>
    </w:p>
    <w:p>
      <w:pPr>
        <w:pStyle w:val="Normal"/>
        <w:rPr>
          <w:b/>
          <w:b/>
          <w:bCs/>
        </w:rPr>
      </w:pPr>
      <w:r>
        <w:rPr>
          <w:b/>
          <w:bCs/>
        </w:rPr>
      </w:r>
    </w:p>
    <w:p>
      <w:pPr>
        <w:pStyle w:val="Berschrift2"/>
        <w:rPr/>
      </w:pPr>
      <w:r>
        <w:rPr/>
        <w:t>Aktivnost 5d: Glasovanje</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Sudionici glasuju za ili protiv prijedloga konačnih preporuka povjerenstva za tranziciju</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10 minuta</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76"/>
              </w:numPr>
              <w:spacing w:lineRule="auto" w:line="240" w:before="0" w:after="0"/>
              <w:rPr>
                <w:rFonts w:eastAsia="Calibri"/>
                <w:sz w:val="20"/>
                <w:szCs w:val="20"/>
              </w:rPr>
            </w:pPr>
            <w:r>
              <w:rPr>
                <w:rFonts w:eastAsia="Calibri"/>
                <w:sz w:val="20"/>
                <w:szCs w:val="20"/>
              </w:rPr>
              <w:t>(ključni aspekti) konačne izjave na flipchartu/ u prezentaciji</w:t>
            </w:r>
          </w:p>
          <w:p>
            <w:pPr>
              <w:pStyle w:val="Normal"/>
              <w:widowControl w:val="false"/>
              <w:numPr>
                <w:ilvl w:val="0"/>
                <w:numId w:val="77"/>
              </w:numPr>
              <w:spacing w:lineRule="auto" w:line="240" w:before="0" w:after="0"/>
              <w:rPr/>
            </w:pPr>
            <w:r>
              <w:rPr>
                <w:rFonts w:eastAsia="Calibri"/>
                <w:sz w:val="20"/>
                <w:szCs w:val="20"/>
              </w:rPr>
              <w:t>Flip-chart za rezultat glasovanja</w:t>
            </w:r>
          </w:p>
        </w:tc>
      </w:tr>
    </w:tbl>
    <w:p>
      <w:pPr>
        <w:pStyle w:val="Normal"/>
        <w:rPr/>
      </w:pPr>
      <w:r>
        <w:rPr/>
      </w:r>
    </w:p>
    <w:p>
      <w:pPr>
        <w:pStyle w:val="Normal"/>
        <w:rPr/>
      </w:pPr>
      <w:r>
        <w:rPr/>
        <w:t>MI:</w:t>
        <w:br/>
      </w:r>
      <w:r>
        <w:rPr>
          <w:u w:val="single"/>
        </w:rPr>
        <w:t>Korak 1</w:t>
      </w:r>
      <w:r>
        <w:rPr/>
        <w:t>: Posljednju izjavu koju ste pripremili tijekom pauze pročitajte naglas. Provjerite razumiju li svi ispravno prijedlog (ovdje bi vam mogao biti od pomoći flip-chart/ slide). Ovaj je tekst prijedlog službene preporuke komisije za tranziciju:</w:t>
        <w:br/>
        <w:br/>
      </w:r>
      <w:r>
        <w:rPr>
          <w:u w:val="single"/>
        </w:rPr>
        <w:t>Korak 2:</w:t>
      </w:r>
      <w:r>
        <w:rPr/>
        <w:t xml:space="preserve"> Objasnite modalitete glasovanja:</w:t>
      </w:r>
    </w:p>
    <w:p>
      <w:pPr>
        <w:pStyle w:val="Normal"/>
        <w:numPr>
          <w:ilvl w:val="0"/>
          <w:numId w:val="36"/>
        </w:numPr>
        <w:rPr/>
      </w:pPr>
      <w:r>
        <w:rPr/>
        <w:t>Svaka osoba ima jedan glas</w:t>
      </w:r>
    </w:p>
    <w:p>
      <w:pPr>
        <w:pStyle w:val="Normal"/>
        <w:numPr>
          <w:ilvl w:val="0"/>
          <w:numId w:val="78"/>
        </w:numPr>
        <w:rPr/>
      </w:pPr>
      <w:r>
        <w:rPr/>
        <w:t>Sudionici istog izaslanstva(grupe) mogu glasovati drugačije</w:t>
      </w:r>
    </w:p>
    <w:p>
      <w:pPr>
        <w:pStyle w:val="Normal"/>
        <w:numPr>
          <w:ilvl w:val="0"/>
          <w:numId w:val="79"/>
        </w:numPr>
        <w:rPr/>
      </w:pPr>
      <w:r>
        <w:rPr/>
        <w:t>Ako više od 60 posto sudionika glasa za prijedlog, smatra se prihvaćenim</w:t>
      </w:r>
    </w:p>
    <w:p>
      <w:pPr>
        <w:pStyle w:val="Normal"/>
        <w:rPr/>
      </w:pPr>
      <w:r>
        <w:rPr>
          <w:u w:val="single"/>
        </w:rPr>
        <w:t>Treći korak</w:t>
      </w:r>
      <w:r>
        <w:rPr/>
        <w:t>: Neka svi sudionici koji prihvate ovaj prijedlog dignu ruke. Zatim neka svi sudionici koji su protiv prijedloga dignu ruke.</w:t>
        <w:br/>
        <w:br/>
        <w:t xml:space="preserve">MI: </w:t>
        <w:br/>
        <w:t>Prebrojite glasove za i protiv te zapišite rezultat na flip-chart</w:t>
        <w:br/>
        <w:br/>
      </w:r>
      <w:r>
        <w:rPr>
          <w:u w:val="single"/>
        </w:rPr>
        <w:t xml:space="preserve">Četvrti korak: </w:t>
      </w:r>
      <w:r>
        <w:rPr/>
        <w:br/>
        <w:t>- Ako bude prihvaćeno: Čestitajte povjerenstvu na uspješnom procesu</w:t>
        <w:br/>
        <w:t>- Ako ne bude prihvaćeno, najavite fiktivni sljedeći krug pregovora sljedeći tjedan.</w:t>
        <w:br/>
      </w:r>
    </w:p>
    <w:p>
      <w:pPr>
        <w:pStyle w:val="Normal"/>
        <w:spacing w:lineRule="auto" w:line="276"/>
        <w:rPr/>
      </w:pPr>
      <w:r>
        <w:rPr>
          <w:b/>
          <w:bCs/>
        </w:rPr>
        <w:t xml:space="preserve">Napomene za online implementaciju: </w:t>
        <w:br/>
        <w:br/>
      </w:r>
      <w:r>
        <w:rPr/>
        <w:t>Sudionici mogu jednostavno zapisati "prihvaćeno" ili "neprihvaćeno" u chatu ako se provodi putem interneta.</w:t>
      </w:r>
    </w:p>
    <w:p>
      <w:pPr>
        <w:pStyle w:val="Normal"/>
        <w:spacing w:lineRule="auto" w:line="276"/>
        <w:rPr/>
      </w:pPr>
      <w:r>
        <w:rPr/>
      </w:r>
    </w:p>
    <w:p>
      <w:pPr>
        <w:pStyle w:val="Normal"/>
        <w:spacing w:lineRule="auto" w:line="276"/>
        <w:rPr>
          <w:b/>
          <w:b/>
          <w:bCs/>
          <w:sz w:val="28"/>
          <w:szCs w:val="28"/>
        </w:rPr>
      </w:pPr>
      <w:r>
        <w:rPr>
          <w:b/>
          <w:bCs/>
          <w:sz w:val="28"/>
          <w:szCs w:val="28"/>
        </w:rPr>
        <w:t>KRAJ SIMULACIJSKE IGRE</w:t>
      </w:r>
    </w:p>
    <w:p>
      <w:pPr>
        <w:pStyle w:val="Normal"/>
        <w:spacing w:lineRule="auto" w:line="276"/>
        <w:rPr/>
      </w:pPr>
      <w:r>
        <w:rPr/>
      </w:r>
    </w:p>
    <w:p>
      <w:pPr>
        <w:pStyle w:val="Berschrift2"/>
        <w:rPr/>
      </w:pPr>
      <w:r>
        <w:rPr/>
        <w:t>Aktivnost 6: Zaključci igre</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76" w:before="0" w:after="0"/>
              <w:rPr>
                <w:rFonts w:eastAsia="Times New Roman" w:cs="Times New Roman"/>
                <w:color w:val="000000"/>
                <w:sz w:val="20"/>
                <w:szCs w:val="20"/>
                <w:lang w:val="en-GB" w:eastAsia="de-AT"/>
              </w:rPr>
            </w:pPr>
            <w:r>
              <w:rPr>
                <w:rFonts w:eastAsia="Times New Roman" w:cs="Times New Roman"/>
                <w:color w:val="000000"/>
                <w:sz w:val="20"/>
                <w:szCs w:val="20"/>
                <w:lang w:val="en-GB" w:eastAsia="de-AT"/>
              </w:rPr>
              <w:t>Sastoji se od dva osnovna koraka. Prvo, sudionici opisuju i razmišljaju o svojim iskustvima i zapažanjima. Drugo, procjenjujemo  iskustva i tražimo uvide koji se mogu generalizirati i skustvo simulacijske igre primjeniti u stvarnom svijetu.</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sz w:val="20"/>
                <w:szCs w:val="20"/>
              </w:rPr>
            </w:pPr>
            <w:r>
              <w:rPr>
                <w:rFonts w:eastAsia="Calibri"/>
                <w:color w:val="000000"/>
                <w:sz w:val="20"/>
                <w:szCs w:val="20"/>
              </w:rPr>
              <w:t>25 minuta</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rFonts w:eastAsia="Calibri"/>
                <w:color w:val="000000"/>
              </w:rPr>
            </w:pPr>
            <w:r>
              <w:rPr>
                <w:rFonts w:eastAsia="Calibri"/>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80"/>
              </w:numPr>
              <w:spacing w:lineRule="auto" w:line="240" w:before="0" w:after="0"/>
              <w:rPr>
                <w:rFonts w:eastAsia="Calibri"/>
                <w:sz w:val="20"/>
                <w:szCs w:val="20"/>
              </w:rPr>
            </w:pPr>
            <w:r>
              <w:rPr>
                <w:rFonts w:eastAsia="Calibri"/>
                <w:sz w:val="20"/>
                <w:szCs w:val="20"/>
              </w:rPr>
              <w:t>Flip-chart s vodećim pitanjima za zaključke</w:t>
            </w:r>
          </w:p>
          <w:p>
            <w:pPr>
              <w:pStyle w:val="Normal"/>
              <w:widowControl w:val="false"/>
              <w:numPr>
                <w:ilvl w:val="0"/>
                <w:numId w:val="81"/>
              </w:numPr>
              <w:spacing w:lineRule="auto" w:line="240" w:before="0" w:after="0"/>
              <w:rPr>
                <w:rFonts w:eastAsia="Calibri"/>
                <w:sz w:val="20"/>
                <w:szCs w:val="20"/>
              </w:rPr>
            </w:pPr>
            <w:r>
              <w:rPr>
                <w:rFonts w:eastAsia="Calibri"/>
                <w:sz w:val="20"/>
                <w:szCs w:val="20"/>
              </w:rPr>
              <w:t>Papir i olovke za sve sudionike za izradu bilješki</w:t>
            </w:r>
          </w:p>
        </w:tc>
      </w:tr>
    </w:tbl>
    <w:p>
      <w:pPr>
        <w:pStyle w:val="Normal"/>
        <w:rPr/>
      </w:pPr>
      <w:r>
        <w:rPr/>
      </w:r>
    </w:p>
    <w:p>
      <w:pPr>
        <w:pStyle w:val="Normal"/>
        <w:rPr/>
      </w:pPr>
      <w:r>
        <w:rPr>
          <w:u w:val="single"/>
        </w:rPr>
        <w:t>Korak 1:</w:t>
      </w:r>
      <w:r>
        <w:rPr/>
        <w:t xml:space="preserve"> Važno je da postoji jasan rez između kraja simulacijske igre i pisanja zaključaka. Zatražite od sudionika da skinu kartice s imenom. Zatim pozovite sudionike da ustanu i naprave neke pokrete kako bi fizički „izašli“ iz uloge. </w:t>
        <w:br/>
        <w:br/>
      </w:r>
      <w:r>
        <w:rPr>
          <w:u w:val="single"/>
        </w:rPr>
        <w:t xml:space="preserve">Korak 2: </w:t>
      </w:r>
      <w:r>
        <w:rPr/>
        <w:t>Tri minute individualnog razmišljanja: Svaka osoba ima vremena zapisati neka razmišljanja o sljedećim pitanjima:</w:t>
      </w:r>
    </w:p>
    <w:p>
      <w:pPr>
        <w:pStyle w:val="Normal"/>
        <w:numPr>
          <w:ilvl w:val="0"/>
          <w:numId w:val="37"/>
        </w:numPr>
        <w:rPr/>
      </w:pPr>
      <w:r>
        <w:rPr/>
        <w:t>Kako sam se osjećao u svojoj ulozi / tijekom igre?</w:t>
      </w:r>
    </w:p>
    <w:p>
      <w:pPr>
        <w:pStyle w:val="Normal"/>
        <w:numPr>
          <w:ilvl w:val="0"/>
          <w:numId w:val="82"/>
        </w:numPr>
        <w:rPr/>
      </w:pPr>
      <w:r>
        <w:rPr/>
        <w:t>Što se dogodilo tijekom igre / što sam primijetio?</w:t>
      </w:r>
    </w:p>
    <w:p>
      <w:pPr>
        <w:pStyle w:val="Normal"/>
        <w:rPr/>
      </w:pPr>
      <w:r>
        <w:rPr>
          <w:u w:val="single"/>
        </w:rPr>
        <w:t>Treći korak</w:t>
      </w:r>
      <w:r>
        <w:rPr/>
        <w:t>: Dijeljenje i razmjena iskustava u grupama po troje sudionika tijekom sedam minuta. Podijelite sudionike kako bi dobili priliku razmjenjivati mišljenja s ljudima u drugim ulogama.</w:t>
        <w:br/>
        <w:br/>
      </w:r>
      <w:r>
        <w:rPr>
          <w:u w:val="single"/>
        </w:rPr>
        <w:t>Četvrti korak:</w:t>
      </w:r>
      <w:r>
        <w:rPr/>
        <w:t xml:space="preserve"> Posljednji korak je rasprava s cijelom grupom o sljedećim pitanjima:</w:t>
      </w:r>
    </w:p>
    <w:p>
      <w:pPr>
        <w:pStyle w:val="Normal"/>
        <w:numPr>
          <w:ilvl w:val="0"/>
          <w:numId w:val="38"/>
        </w:numPr>
        <w:rPr/>
      </w:pPr>
      <w:r>
        <w:rPr/>
        <w:t>Koje ste opće uvide stekli iz igre?</w:t>
      </w:r>
    </w:p>
    <w:p>
      <w:pPr>
        <w:pStyle w:val="Normal"/>
        <w:numPr>
          <w:ilvl w:val="0"/>
          <w:numId w:val="83"/>
        </w:numPr>
        <w:rPr/>
      </w:pPr>
      <w:r>
        <w:rPr/>
        <w:t>Što bi se dogodilo da...? Koji bi uvjeti morali biti drugačiji da bi se igra drugačije završila?</w:t>
        <w:br/>
      </w:r>
    </w:p>
    <w:p>
      <w:pPr>
        <w:pStyle w:val="Normal"/>
        <w:rPr>
          <w:b/>
          <w:b/>
          <w:bCs/>
        </w:rPr>
      </w:pPr>
      <w:r>
        <w:rPr>
          <w:b/>
          <w:bCs/>
        </w:rPr>
        <w:t>Općenite napomene:</w:t>
      </w:r>
    </w:p>
    <w:p>
      <w:pPr>
        <w:pStyle w:val="Normal"/>
        <w:rPr/>
      </w:pPr>
      <w:r>
        <w:rPr/>
        <w:t>Opsežan izvještaj ključan je u simulacijskim igrama. Pobrinite se da ostane dovoljno vremena za prolazak kroz ova dva koraka.</w:t>
      </w:r>
    </w:p>
    <w:p>
      <w:pPr>
        <w:pStyle w:val="Normal"/>
        <w:rPr/>
      </w:pPr>
      <w:r>
        <w:rPr/>
        <w:t>Općenito, od iznimne je važnosti primijetiti da u ovom izvješću nema pritiska za određeni ishod niti  pogrešnog i ispravnog mišljenja. Svaka simulacijska igra je drugačija i trebalo bi biti prostora za raspravu o svemu što je važno sudionicima.</w:t>
      </w:r>
    </w:p>
    <w:p>
      <w:pPr>
        <w:pStyle w:val="Normal"/>
        <w:rPr/>
      </w:pPr>
      <w:r>
        <w:rPr/>
      </w:r>
    </w:p>
    <w:p>
      <w:pPr>
        <w:pStyle w:val="Normal"/>
        <w:spacing w:lineRule="auto" w:line="276"/>
        <w:rPr>
          <w:rFonts w:ascii="Nunito" w:hAnsi="Nunito" w:eastAsia="Times New Roman" w:cs="Times New Roman"/>
          <w:b/>
          <w:b/>
          <w:bCs/>
          <w:color w:val="000000"/>
          <w:lang w:val="en-GB" w:eastAsia="de-AT"/>
        </w:rPr>
      </w:pPr>
      <w:r>
        <w:rPr>
          <w:rFonts w:eastAsia="Times New Roman" w:cs="Times New Roman" w:ascii="Nunito" w:hAnsi="Nunito"/>
          <w:b/>
          <w:bCs/>
          <w:color w:val="000000"/>
          <w:lang w:val="en-GB" w:eastAsia="de-AT"/>
        </w:rPr>
        <w:t>Napomene za online implementaciju:</w:t>
      </w:r>
    </w:p>
    <w:p>
      <w:pPr>
        <w:pStyle w:val="Normal"/>
        <w:spacing w:lineRule="auto" w:line="276"/>
        <w:rPr>
          <w:rFonts w:eastAsia="Times New Roman" w:cs="Times New Roman"/>
          <w:color w:val="000000"/>
          <w:lang w:val="en-GB" w:eastAsia="de-AT"/>
        </w:rPr>
      </w:pPr>
      <w:r>
        <w:rPr>
          <w:rFonts w:eastAsia="Times New Roman" w:cs="Times New Roman"/>
          <w:color w:val="000000"/>
          <w:lang w:val="en-GB" w:eastAsia="de-AT"/>
        </w:rPr>
        <w:t>U koraku 1: Umjesto skidanja značke s imenom, sudionici ih mogu ponovno preimenovati.</w:t>
      </w:r>
    </w:p>
    <w:p>
      <w:pPr>
        <w:pStyle w:val="Normal"/>
        <w:spacing w:lineRule="auto" w:line="276"/>
        <w:rPr>
          <w:rFonts w:eastAsia="Times New Roman" w:cs="Times New Roman"/>
          <w:color w:val="000000"/>
          <w:lang w:val="en-GB" w:eastAsia="de-AT"/>
        </w:rPr>
      </w:pPr>
      <w:r>
        <w:rPr>
          <w:rFonts w:eastAsia="Times New Roman" w:cs="Times New Roman"/>
          <w:color w:val="000000"/>
          <w:lang w:val="en-GB" w:eastAsia="de-AT"/>
        </w:rPr>
      </w:r>
    </w:p>
    <w:p>
      <w:pPr>
        <w:pStyle w:val="Berschrift2"/>
        <w:rPr/>
      </w:pPr>
      <w:r>
        <w:rPr/>
        <w:t>Aktivnost 7: Zatvaranje i povratne informacije</w:t>
      </w:r>
    </w:p>
    <w:p>
      <w:pPr>
        <w:pStyle w:val="Normal"/>
        <w:rPr/>
      </w:pPr>
      <w:r>
        <w:rPr/>
      </w:r>
    </w:p>
    <w:tbl>
      <w:tblPr>
        <w:tblW w:w="5949" w:type="dxa"/>
        <w:jc w:val="left"/>
        <w:tblInd w:w="10" w:type="dxa"/>
        <w:tblLayout w:type="fixed"/>
        <w:tblCellMar>
          <w:top w:w="0" w:type="dxa"/>
          <w:left w:w="108" w:type="dxa"/>
          <w:bottom w:w="0" w:type="dxa"/>
          <w:right w:w="108" w:type="dxa"/>
        </w:tblCellMar>
        <w:tblLook w:firstRow="0" w:noVBand="0" w:lastRow="0" w:firstColumn="0" w:lastColumn="0" w:noHBand="0"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Pregled</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sz w:val="20"/>
                <w:szCs w:val="20"/>
              </w:rPr>
            </w:pPr>
            <w:r>
              <w:rPr>
                <w:color w:val="000000"/>
                <w:sz w:val="20"/>
                <w:szCs w:val="20"/>
              </w:rPr>
              <w:t>Završni krug omogućuje polaznicima da zaključe radionicu i već je to prva povratna informacija o tome kako je radionica prošla. Osim toga, trebali biste dati vremena za anonimne, pisane povratne informacije.</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Vrijeme</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sz w:val="20"/>
                <w:szCs w:val="20"/>
              </w:rPr>
            </w:pPr>
            <w:r>
              <w:rPr>
                <w:color w:val="000000"/>
                <w:sz w:val="20"/>
                <w:szCs w:val="20"/>
              </w:rPr>
              <w:t>10 minuta</w:t>
            </w:r>
          </w:p>
        </w:tc>
      </w:tr>
      <w:tr>
        <w:trPr/>
        <w:tc>
          <w:tcPr>
            <w:tcW w:w="1270"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lineRule="auto" w:line="240" w:before="0" w:after="0"/>
              <w:rPr>
                <w:color w:val="000000"/>
              </w:rPr>
            </w:pPr>
            <w:r>
              <w:rPr>
                <w:color w:val="000000"/>
              </w:rPr>
              <w:t>Materijal</w:t>
            </w:r>
          </w:p>
        </w:tc>
        <w:tc>
          <w:tcPr>
            <w:tcW w:w="4678" w:type="dxa"/>
            <w:tcBorders>
              <w:top w:val="single" w:sz="4" w:space="0" w:color="000000"/>
              <w:left w:val="single" w:sz="4" w:space="0" w:color="000000"/>
              <w:bottom w:val="single" w:sz="4" w:space="0" w:color="000000"/>
              <w:right w:val="single" w:sz="4" w:space="0" w:color="000000"/>
            </w:tcBorders>
            <w:shd w:color="auto" w:fill="E1E9FF" w:val="clear"/>
          </w:tcPr>
          <w:p>
            <w:pPr>
              <w:pStyle w:val="ListParagraph"/>
              <w:widowControl w:val="false"/>
              <w:numPr>
                <w:ilvl w:val="0"/>
                <w:numId w:val="39"/>
              </w:numPr>
              <w:spacing w:lineRule="auto" w:line="240" w:before="0" w:after="0"/>
              <w:rPr>
                <w:color w:val="000000"/>
                <w:sz w:val="20"/>
                <w:szCs w:val="20"/>
              </w:rPr>
            </w:pPr>
            <w:r>
              <w:rPr>
                <w:color w:val="000000"/>
                <w:sz w:val="20"/>
                <w:szCs w:val="20"/>
              </w:rPr>
              <w:t>Obrasci za povratne informacije</w:t>
            </w:r>
          </w:p>
          <w:p>
            <w:pPr>
              <w:pStyle w:val="ListParagraph"/>
              <w:widowControl w:val="false"/>
              <w:numPr>
                <w:ilvl w:val="0"/>
                <w:numId w:val="39"/>
              </w:numPr>
              <w:spacing w:lineRule="auto" w:line="240" w:before="0" w:after="0"/>
              <w:rPr>
                <w:color w:val="000000"/>
                <w:sz w:val="20"/>
                <w:szCs w:val="20"/>
              </w:rPr>
            </w:pPr>
            <w:r>
              <w:rPr>
                <w:color w:val="000000"/>
                <w:sz w:val="20"/>
                <w:szCs w:val="20"/>
              </w:rPr>
              <w:t>Olovke</w:t>
            </w:r>
          </w:p>
          <w:p>
            <w:pPr>
              <w:pStyle w:val="ListParagraph"/>
              <w:widowControl w:val="false"/>
              <w:numPr>
                <w:ilvl w:val="0"/>
                <w:numId w:val="39"/>
              </w:numPr>
              <w:spacing w:lineRule="auto" w:line="240" w:before="0" w:after="0"/>
              <w:rPr>
                <w:color w:val="000000"/>
                <w:sz w:val="20"/>
                <w:szCs w:val="20"/>
              </w:rPr>
            </w:pPr>
            <w:r>
              <w:rPr>
                <w:color w:val="000000"/>
                <w:sz w:val="20"/>
                <w:szCs w:val="20"/>
              </w:rPr>
              <w:t>Jedan objekt koji se može dodavati u krug, npr. dodavanje lopte</w:t>
            </w:r>
          </w:p>
        </w:tc>
      </w:tr>
    </w:tbl>
    <w:p>
      <w:pPr>
        <w:pStyle w:val="Normal"/>
        <w:rPr/>
      </w:pPr>
      <w:r>
        <w:rPr/>
      </w:r>
    </w:p>
    <w:p>
      <w:pPr>
        <w:pStyle w:val="Normal"/>
        <w:rPr/>
      </w:pPr>
      <w:r>
        <w:rPr>
          <w:color w:val="000000"/>
          <w:u w:val="single"/>
        </w:rPr>
        <w:t>Korak 1:</w:t>
      </w:r>
      <w:r>
        <w:rPr>
          <w:color w:val="000000"/>
        </w:rPr>
        <w:t xml:space="preserve"> Jasno dajte do znanja da sada radite završna razmatranja i završetak radionice</w:t>
      </w:r>
    </w:p>
    <w:p>
      <w:pPr>
        <w:pStyle w:val="Normal"/>
        <w:rPr/>
      </w:pPr>
      <w:r>
        <w:rPr>
          <w:color w:val="000000"/>
          <w:u w:val="single"/>
        </w:rPr>
        <w:t>Korak 2:</w:t>
      </w:r>
      <w:r>
        <w:rPr>
          <w:color w:val="000000"/>
        </w:rPr>
        <w:t xml:space="preserve"> Dajte polaznicima jednu minutu u tišini da razmisle o cijeloj radionici i pitanju: "Što će mi najviše koristiti iz ove radionice?"</w:t>
      </w:r>
    </w:p>
    <w:p>
      <w:pPr>
        <w:pStyle w:val="Normal"/>
        <w:rPr/>
      </w:pPr>
      <w:r>
        <w:rPr>
          <w:color w:val="000000"/>
          <w:u w:val="single"/>
        </w:rPr>
        <w:t>Treći korak</w:t>
      </w:r>
      <w:r>
        <w:rPr>
          <w:color w:val="000000"/>
        </w:rPr>
        <w:t>: Napravite kratki obilazak i pozovite sudionike da ukratko podijele posljednju misao. Možete koristiti objekt koji se dodaje onome tko slijedeći govori. Sudionici također mogu dodati objekt dalje bez da nešto kažu ako nemaju ništa za reći ili se ne osjećaju ugodno.</w:t>
      </w:r>
    </w:p>
    <w:p>
      <w:pPr>
        <w:pStyle w:val="Normal"/>
        <w:rPr/>
      </w:pPr>
      <w:r>
        <w:rPr>
          <w:color w:val="000000"/>
          <w:u w:val="single"/>
        </w:rPr>
        <w:t xml:space="preserve">Četvrti korak: </w:t>
      </w:r>
      <w:r>
        <w:rPr>
          <w:color w:val="000000"/>
        </w:rPr>
        <w:t xml:space="preserve">Službeno završite radionicu. Ako imate anonimne obrasce za povratne informacije, distribuirajte ih. </w:t>
        <w:br/>
      </w:r>
    </w:p>
    <w:p>
      <w:pPr>
        <w:pStyle w:val="Normal"/>
        <w:spacing w:lineRule="auto" w:line="276"/>
        <w:rPr>
          <w:b/>
          <w:b/>
          <w:bCs/>
        </w:rPr>
      </w:pPr>
      <w:r>
        <w:rPr>
          <w:b/>
          <w:bCs/>
        </w:rPr>
        <w:br/>
        <w:t>Općenite napomene:</w:t>
      </w:r>
    </w:p>
    <w:p>
      <w:pPr>
        <w:pStyle w:val="Normal"/>
        <w:spacing w:lineRule="auto" w:line="276"/>
        <w:rPr>
          <w:color w:val="000000"/>
        </w:rPr>
      </w:pPr>
      <w:r>
        <w:rPr>
          <w:color w:val="000000"/>
        </w:rPr>
        <w:t>Važno je napraviti jasan rez između osvrta na simulacijsku igru i povratnih informacija o samoj radionici.</w:t>
      </w:r>
    </w:p>
    <w:p>
      <w:pPr>
        <w:pStyle w:val="Normal"/>
        <w:rPr>
          <w:color w:val="000000"/>
        </w:rPr>
      </w:pPr>
      <w:r>
        <w:rPr>
          <w:color w:val="000000"/>
        </w:rPr>
        <w:t>Upitnik za povratne informacije može sadržavati sljedeća pitanja:</w:t>
      </w:r>
    </w:p>
    <w:p>
      <w:pPr>
        <w:pStyle w:val="ListParagraph"/>
        <w:numPr>
          <w:ilvl w:val="0"/>
          <w:numId w:val="40"/>
        </w:numPr>
        <w:rPr>
          <w:color w:val="000000"/>
        </w:rPr>
      </w:pPr>
      <w:r>
        <w:rPr>
          <w:color w:val="000000"/>
        </w:rPr>
        <w:t>Koji je bio moj "aha-trenutak"?</w:t>
      </w:r>
    </w:p>
    <w:p>
      <w:pPr>
        <w:pStyle w:val="ListParagraph"/>
        <w:numPr>
          <w:ilvl w:val="0"/>
          <w:numId w:val="84"/>
        </w:numPr>
        <w:rPr>
          <w:color w:val="000000"/>
        </w:rPr>
      </w:pPr>
      <w:r>
        <w:rPr>
          <w:color w:val="000000"/>
        </w:rPr>
        <w:t>Što će mi najviše koristiti od ove radionice?</w:t>
      </w:r>
    </w:p>
    <w:p>
      <w:pPr>
        <w:pStyle w:val="ListParagraph"/>
        <w:numPr>
          <w:ilvl w:val="0"/>
          <w:numId w:val="85"/>
        </w:numPr>
        <w:rPr>
          <w:color w:val="000000"/>
        </w:rPr>
      </w:pPr>
      <w:r>
        <w:rPr>
          <w:color w:val="000000"/>
        </w:rPr>
        <w:t>Što bi se moglo učiniti drugačije sljedeći put?</w:t>
      </w:r>
    </w:p>
    <w:p>
      <w:pPr>
        <w:pStyle w:val="ListParagraph"/>
        <w:numPr>
          <w:ilvl w:val="0"/>
          <w:numId w:val="86"/>
        </w:numPr>
        <w:rPr>
          <w:color w:val="000000"/>
        </w:rPr>
      </w:pPr>
      <w:r>
        <w:rPr>
          <w:color w:val="000000"/>
        </w:rPr>
        <w:t>Jesam li mogao doprinijeti na način na koji sam želio?</w:t>
      </w:r>
    </w:p>
    <w:p>
      <w:pPr>
        <w:pStyle w:val="Normal"/>
        <w:spacing w:lineRule="auto" w:line="276"/>
        <w:rPr>
          <w:b/>
          <w:b/>
          <w:bCs/>
        </w:rPr>
      </w:pPr>
      <w:r>
        <w:rPr>
          <w:b/>
          <w:bCs/>
        </w:rPr>
        <w:t>Napomene za online implementaciju:</w:t>
      </w:r>
    </w:p>
    <w:p>
      <w:pPr>
        <w:pStyle w:val="Normal"/>
        <w:rPr>
          <w:color w:val="000000"/>
        </w:rPr>
      </w:pPr>
      <w:r>
        <w:rPr>
          <w:color w:val="000000"/>
        </w:rPr>
        <w:t>Korak 3: Sudionici bi također mogli odgovoriti na posljednje pitanje u chatu.</w:t>
      </w:r>
    </w:p>
    <w:p>
      <w:pPr>
        <w:pStyle w:val="Normal"/>
        <w:rPr>
          <w:color w:val="000000"/>
        </w:rPr>
      </w:pPr>
      <w:r>
        <w:rPr>
          <w:color w:val="000000"/>
        </w:rPr>
        <w:t>Korak 4: Postoje različite mogućnosti za jednostavne internetske alate za istraživanje, koje možete koristiti za obrazac za povratne informacije (anketni upitnik), npr. Survey monkey ili Qualtrics.</w:t>
      </w:r>
    </w:p>
    <w:p>
      <w:pPr>
        <w:pStyle w:val="Normal"/>
        <w:rPr/>
      </w:pPr>
      <w:r>
        <w:rPr>
          <w:color w:val="000000"/>
        </w:rPr>
        <w:t>---------------------------------------------------------------------------------------------------------------------------</w:t>
      </w:r>
    </w:p>
    <w:p>
      <w:pPr>
        <w:pStyle w:val="Berschrift2"/>
        <w:rPr/>
      </w:pPr>
      <w:r>
        <w:rPr/>
        <w:t>Dodatak</w:t>
        <w:br/>
      </w:r>
    </w:p>
    <w:p>
      <w:pPr>
        <w:pStyle w:val="Berschrift3"/>
        <w:rPr/>
      </w:pPr>
      <w:r>
        <w:rPr/>
        <w:t>Dodatak 1: Karakteristike/značenje znakova u chatu za virtualno moderiranje rasprava</w:t>
      </w:r>
    </w:p>
    <w:p>
      <w:pPr>
        <w:pStyle w:val="Normal"/>
        <w:rPr>
          <w:color w:val="000000"/>
        </w:rPr>
      </w:pPr>
      <w:r>
        <w:rPr>
          <w:color w:val="000000"/>
        </w:rPr>
        <w:br/>
        <w:t>+ Pristanak</w:t>
        <w:br/>
        <w:t>- Neodobravanje</w:t>
        <w:br/>
        <w:t>* Zahtjev za govor</w:t>
        <w:br/>
        <w:t>** Izravan odgovor na ono što je upravo rečeno</w:t>
        <w:br/>
        <w:t>Imam tehničkih problema, trebam pomoć</w:t>
      </w:r>
    </w:p>
    <w:p>
      <w:pPr>
        <w:pStyle w:val="ListParagraph"/>
        <w:numPr>
          <w:ilvl w:val="0"/>
          <w:numId w:val="41"/>
        </w:numPr>
        <w:ind w:left="0" w:hanging="0"/>
        <w:rPr>
          <w:rFonts w:eastAsia="Calibri" w:cs="Tahoma"/>
          <w:color w:val="000000"/>
          <w:sz w:val="24"/>
          <w:szCs w:val="24"/>
        </w:rPr>
      </w:pPr>
      <w:r>
        <w:rPr>
          <w:rFonts w:eastAsia="Calibri" w:cs="Tahoma"/>
          <w:color w:val="000000"/>
          <w:sz w:val="24"/>
          <w:szCs w:val="24"/>
        </w:rPr>
        <w:t>Sudionici mogu napisati ove znakove u chat kako bi obavijestili moderatora da imaju što za reći/dodati.</w:t>
      </w:r>
    </w:p>
    <w:p>
      <w:pPr>
        <w:pStyle w:val="ListParagraph"/>
        <w:ind w:left="0" w:hanging="0"/>
        <w:rPr>
          <w:rFonts w:eastAsia="Calibri" w:cs="Tahoma"/>
          <w:color w:val="000000"/>
          <w:sz w:val="24"/>
          <w:szCs w:val="24"/>
        </w:rPr>
      </w:pPr>
      <w:r>
        <w:rPr>
          <w:rFonts w:eastAsia="Calibri" w:cs="Tahoma"/>
          <w:color w:val="000000"/>
          <w:sz w:val="24"/>
          <w:szCs w:val="24"/>
        </w:rPr>
      </w:r>
    </w:p>
    <w:p>
      <w:pPr>
        <w:pStyle w:val="Berschrift3"/>
        <w:rPr/>
      </w:pPr>
      <w:r>
        <w:rPr/>
        <w:t>Dodatak 2.: Dodatni materijali za pravednu tranziciju i utjecaj zračnog prometa na klimu</w:t>
      </w:r>
    </w:p>
    <w:p>
      <w:pPr>
        <w:pStyle w:val="Normal"/>
        <w:rPr/>
      </w:pPr>
      <w:r>
        <w:rPr/>
      </w:r>
    </w:p>
    <w:p>
      <w:pPr>
        <w:pStyle w:val="ListParagraph"/>
        <w:numPr>
          <w:ilvl w:val="0"/>
          <w:numId w:val="42"/>
        </w:numPr>
        <w:rPr/>
      </w:pPr>
      <w:hyperlink r:id="rId8">
        <w:r>
          <w:rPr>
            <w:rStyle w:val="Internetlink"/>
          </w:rPr>
          <w:t>https://</w:t>
        </w:r>
      </w:hyperlink>
      <w:hyperlink r:id="rId9">
        <w:r>
          <w:rPr>
            <w:rStyle w:val="Internetlink"/>
          </w:rPr>
          <w:t>stay-grounded.org</w:t>
        </w:r>
      </w:hyperlink>
    </w:p>
    <w:p>
      <w:pPr>
        <w:pStyle w:val="ListParagraph"/>
        <w:numPr>
          <w:ilvl w:val="0"/>
          <w:numId w:val="87"/>
        </w:numPr>
        <w:rPr/>
      </w:pPr>
      <w:hyperlink r:id="rId10">
        <w:r>
          <w:rPr>
            <w:rStyle w:val="Internetlink"/>
          </w:rPr>
          <w:t>https://climatejusticealliance.org/just-transition/</w:t>
        </w:r>
      </w:hyperlink>
    </w:p>
    <w:p>
      <w:pPr>
        <w:pStyle w:val="ListParagraph"/>
        <w:numPr>
          <w:ilvl w:val="0"/>
          <w:numId w:val="88"/>
        </w:numPr>
        <w:rPr/>
      </w:pPr>
      <w:hyperlink r:id="rId11">
        <w:r>
          <w:rPr>
            <w:rStyle w:val="Internetlink"/>
          </w:rPr>
          <w:t>https://transformation-haus-feld.de/</w:t>
        </w:r>
      </w:hyperlink>
    </w:p>
    <w:p>
      <w:pPr>
        <w:pStyle w:val="ListParagraph"/>
        <w:numPr>
          <w:ilvl w:val="0"/>
          <w:numId w:val="89"/>
        </w:numPr>
        <w:rPr/>
      </w:pPr>
      <w:hyperlink r:id="rId12">
        <w:r>
          <w:rPr>
            <w:rStyle w:val="Internetlink"/>
          </w:rPr>
          <w:t>https://digitalcollection.zhaw.ch/bitstream/11475/23559/3/2021_Rohrer_Wirkung-von-Eigenverantwortung-und-politischen-Massnahmen.pdf</w:t>
        </w:r>
      </w:hyperlink>
    </w:p>
    <w:p>
      <w:pPr>
        <w:pStyle w:val="ListParagraph"/>
        <w:numPr>
          <w:ilvl w:val="0"/>
          <w:numId w:val="90"/>
        </w:numPr>
        <w:rPr/>
      </w:pPr>
      <w:hyperlink r:id="rId13">
        <w:r>
          <w:rPr>
            <w:rStyle w:val="Internetlink"/>
          </w:rPr>
          <w:t>https://www.transportenvironment.org/wp-content/uploads/2021/07/EC_report_Taxes_in_field_of_aviation_and_their_impact_web.pdf</w:t>
        </w:r>
      </w:hyperlink>
    </w:p>
    <w:p>
      <w:pPr>
        <w:pStyle w:val="Normal"/>
        <w:rPr/>
      </w:pPr>
      <w:r>
        <w:rPr/>
      </w:r>
    </w:p>
    <w:p>
      <w:pPr>
        <w:pStyle w:val="Berschrift3"/>
        <w:rPr/>
      </w:pPr>
      <w:r>
        <w:rPr/>
        <w:t>Dodatak 3: Pozadina zadane priče</w:t>
      </w:r>
    </w:p>
    <w:p>
      <w:pPr>
        <w:pStyle w:val="Normal"/>
        <w:spacing w:lineRule="auto" w:line="276"/>
        <w:rPr/>
      </w:pPr>
      <w:r>
        <w:rPr/>
      </w:r>
    </w:p>
    <w:p>
      <w:pPr>
        <w:pStyle w:val="Normal"/>
        <w:spacing w:lineRule="auto" w:line="276"/>
        <w:rPr/>
      </w:pPr>
      <w:r>
        <w:rPr>
          <w:rStyle w:val="Internetlink"/>
          <w:rFonts w:eastAsia="Calibri" w:cs="Tahoma" w:ascii="Linux Biolinum G" w:hAnsi="Linux Biolinum G"/>
          <w:b/>
          <w:bCs/>
          <w:color w:val="000000"/>
          <w:sz w:val="28"/>
          <w:szCs w:val="28"/>
          <w:u w:val="none"/>
        </w:rPr>
        <w:t>Izmišljena zračna luka 2025. godine</w:t>
      </w:r>
    </w:p>
    <w:p>
      <w:pPr>
        <w:pStyle w:val="Textbody"/>
        <w:rPr>
          <w:color w:val="000000"/>
        </w:rPr>
      </w:pPr>
      <w:r>
        <w:rPr>
          <w:color w:val="000000"/>
        </w:rPr>
        <w:t>Nalazimo se 2025. godine u Landingtonu, gradiću s oko 25.000 stanovnika u blizini važnog gradskog područja (oko 2 milijuna stanovnika). Posljednjih godina sve se više pojačavaju politički napori za veću zaštitu okoliša i pozitivnog utjecaja na klimu. U Landingtonu se nalazi zračna luka koja je važna za regiju. U zračnoj luci izravno je zaposleno 4.000 ljudi, a još 60.000 radnih mjesta neizravno je povezano sa zračnom lukom, primjerice u tvrtkama dobavljačima ili kao rezultat povećanog turističkog prometa u regiji. Konkretno, avio prijevoznik Freightplane24 važan je poslodavac i gospodarski čimbenik u regiji. Od svog osnutka, zračna luka je u minusu i mora je subvencionirati javni sektor. Dugotrajni su prosvjedi civilnog društva protiv zračne luke na temelju buke i mnogobrojnih argumenata o negativnom utjecaju na okoliš.</w:t>
      </w:r>
    </w:p>
    <w:p>
      <w:pPr>
        <w:pStyle w:val="Textbody"/>
        <w:rPr>
          <w:color w:val="000000"/>
        </w:rPr>
      </w:pPr>
      <w:r>
        <w:rPr>
          <w:color w:val="000000"/>
        </w:rPr>
        <w:br/>
        <w:t>Prije godinu dana donesen je zakon na nacionalnoj razini. Njime se od svih općina zahtijeva da podnesu učinkovite strategije za smanjenje svojih emisija stakleničkih plinova do 2035. na razinu potrebnu za postizanje klimatskih ciljeva. Ovo je obavezno! Kao odgovor na zakon, postojala su istraživanja u regiji Landington u kojima se većina zalagala za to da se aktivnosti usredotoče na smanjenje letačkog prometa uzračnoj luci, budući da tu postoji najznačajniji potencijal uštede bez ograničavanja kvalitete života stanovništva. Popratna studija pokazala je da zaposlenici zračnih luka imaju kvalifikacije koje bi se mogle primijeniti u drugim sektorima gospodarstva, pod uvjetom da se stvore odgovarajući uvjeti za ovu promjenu industrije.</w:t>
      </w:r>
    </w:p>
    <w:p>
      <w:pPr>
        <w:pStyle w:val="Textbody"/>
        <w:rPr>
          <w:color w:val="000000"/>
        </w:rPr>
      </w:pPr>
      <w:r>
        <w:rPr>
          <w:color w:val="000000"/>
        </w:rPr>
        <w:br/>
        <w:t>Skupine za zaštitu okoliša i predstavnici sindikata zahtijevali su da se demontaži zračne luke pristupi planirano i društveno pravedno. Kao rezultat toga, pod pritiskom javnosti, lokalna samouprava sazvala je takozvano Povjerenstvo za tranziciju u suradnji s Ministarstvom klimatske krize kako bi izradila ovaj plan. Planom se poziva na postupno smanjenje kapaciteta zračne luke do 2035. bez trajnog gubitka radnih mjesta u regiji. Dakle, nema sumnje da će kapaciteti zračne luke biti smanjeni, ali komisija treba razgovarati o tome koliko će se i koliko brzo odvijati to smanjenje kapaciteta i koje su prateće mjere i ulaganja potrebna.</w:t>
      </w:r>
    </w:p>
    <w:p>
      <w:pPr>
        <w:pStyle w:val="Normal"/>
        <w:rPr>
          <w:color w:val="000000"/>
        </w:rPr>
      </w:pPr>
      <w:r>
        <w:rPr>
          <w:color w:val="000000"/>
        </w:rPr>
        <w:br/>
        <w:t xml:space="preserve">Fond za pravednu tranziciju financirat će obnovu. Financirat će se 20 posto iz općinskih fondova i 80 posto iz nacionalnih fondova. Uvjet za financiranje jest pronalaženje sporazuma među članovima povjerenstva za transformaciju. Izrada plana rastavljanja odvijat će se uz sudjelovanje relevantnih dionika. Cilj je iskoristiti ovu planiranu demontažu kako bi potaknuo održivi razvoj regije Landington i istodobno postiglo smanjenje emisija propisano zakonom. Povjerenstvo sada razvija preporuke za demontažu, koje će potom ići relevantnim donositeljima političkih odluka na konačnu odluku i provedbu. Ukoliko komisija ne može pronaći rješenje u ovom prvom krugu pregovora, mora se ponovno okupiti. </w:t>
        <w:br/>
      </w:r>
    </w:p>
    <w:p>
      <w:pPr>
        <w:pStyle w:val="Berschrift3"/>
        <w:rPr/>
      </w:pPr>
      <w:r>
        <w:rPr/>
      </w:r>
      <w:r>
        <w:br w:type="page"/>
      </w:r>
    </w:p>
    <w:p>
      <w:pPr>
        <w:pStyle w:val="Berschrift3"/>
        <w:rPr/>
      </w:pPr>
      <w:r>
        <w:rPr/>
        <w:t>Dodatak 4.: Predložak za konačnu izjavu</w:t>
      </w:r>
    </w:p>
    <w:p>
      <w:pPr>
        <w:pStyle w:val="Normal"/>
        <w:rPr/>
      </w:pPr>
      <w:r>
        <w:rPr/>
      </w:r>
    </w:p>
    <w:p>
      <w:pPr>
        <w:pStyle w:val="Normal"/>
        <w:rPr/>
      </w:pPr>
      <w:r>
        <w:rPr>
          <w:rStyle w:val="Internetlink"/>
          <w:rFonts w:eastAsia="Calibri" w:cs="Tahoma"/>
          <w:color w:val="000000"/>
          <w:sz w:val="24"/>
          <w:szCs w:val="24"/>
          <w:u w:val="none"/>
        </w:rPr>
        <w:t>"Na temelju novog zakona o zaštiti klime, koji zahtijeva smanjenje emisija stakleničkih plinova u regiji Landington, Komisija za transformaciju zračne luke Landington donosi sljedeće preporuke:</w:t>
      </w:r>
    </w:p>
    <w:p>
      <w:pPr>
        <w:pStyle w:val="Normal"/>
        <w:rPr/>
      </w:pPr>
      <w:r>
        <w:rPr>
          <w:rStyle w:val="Internetlink"/>
          <w:rFonts w:eastAsia="Calibri" w:cs="Tahoma"/>
          <w:color w:val="000000"/>
          <w:sz w:val="24"/>
          <w:szCs w:val="24"/>
          <w:u w:val="none"/>
        </w:rPr>
        <w:br/>
        <w:t>Komisija za preobrazbu prepoznaje da se za postizanje potrebnog smanjenja emisija stakleničkih plinova mora smanjiti kapacitet letova u zračnoj luci Landemünden. Letovi će se smanjiti za ____% do 2030. i za ____ % do 2035. Osim toga, Komisija za transformaciju predlaže sljedeće mjere smanjenja emisija stakleničkih plinova: ___</w:t>
      </w:r>
    </w:p>
    <w:p>
      <w:pPr>
        <w:pStyle w:val="Normal"/>
        <w:rPr/>
      </w:pPr>
      <w:r>
        <w:rPr>
          <w:rStyle w:val="Internetlink"/>
          <w:rFonts w:eastAsia="Calibri" w:cs="Tahoma"/>
          <w:color w:val="000000"/>
          <w:sz w:val="24"/>
          <w:szCs w:val="24"/>
          <w:u w:val="none"/>
        </w:rPr>
        <w:t>_________________________________________________________________________.</w:t>
      </w:r>
    </w:p>
    <w:p>
      <w:pPr>
        <w:pStyle w:val="Normal"/>
        <w:rPr/>
      </w:pPr>
      <w:r>
        <w:rPr>
          <w:rStyle w:val="Internetlink"/>
          <w:rFonts w:eastAsia="Calibri" w:cs="Tahoma"/>
          <w:color w:val="000000"/>
          <w:sz w:val="24"/>
          <w:szCs w:val="24"/>
          <w:u w:val="none"/>
        </w:rPr>
        <w:t>Pri demontaži zračne luke mora se uzeti u obzir utjecaj na zaposlenike koji rade u različitim sektorima u zračnoj luci. Stoga potrebno je stvoriti obvezni/dobrovoljni društveni plan, ____</w:t>
      </w:r>
    </w:p>
    <w:p>
      <w:pPr>
        <w:pStyle w:val="Normal"/>
        <w:rPr/>
      </w:pPr>
      <w:r>
        <w:rPr>
          <w:rStyle w:val="Internetlink"/>
          <w:rFonts w:eastAsia="Calibri" w:cs="Tahoma"/>
          <w:color w:val="000000"/>
          <w:sz w:val="24"/>
          <w:szCs w:val="24"/>
          <w:u w:val="none"/>
        </w:rPr>
        <w:t>__________________________________________________________________________</w:t>
      </w:r>
    </w:p>
    <w:p>
      <w:pPr>
        <w:pStyle w:val="Normal"/>
        <w:rPr/>
      </w:pPr>
      <w:r>
        <w:rPr>
          <w:rStyle w:val="Internetlink"/>
          <w:rFonts w:eastAsia="Calibri" w:cs="Tahoma"/>
          <w:color w:val="000000"/>
          <w:sz w:val="24"/>
          <w:szCs w:val="24"/>
          <w:u w:val="none"/>
        </w:rPr>
        <w:t>(npr. uz sudjelovanje radničkih vijeća, za sve zaposlenike koji rade izravno u zračnoj luci/...)  preporučuje se.</w:t>
      </w:r>
    </w:p>
    <w:p>
      <w:pPr>
        <w:pStyle w:val="Normal"/>
        <w:rPr/>
      </w:pPr>
      <w:r>
        <w:rPr>
          <w:rStyle w:val="Internetlink"/>
          <w:rFonts w:eastAsia="Calibri" w:cs="Tahoma"/>
          <w:color w:val="000000"/>
          <w:sz w:val="24"/>
          <w:szCs w:val="24"/>
          <w:u w:val="none"/>
        </w:rPr>
        <w:t>Tvrtke koje se nalaze u zračnoj luci bit će obeštećene na sljedeći način: ___</w:t>
      </w:r>
    </w:p>
    <w:p>
      <w:pPr>
        <w:pStyle w:val="Normal"/>
        <w:rPr/>
      </w:pPr>
      <w:r>
        <w:rPr>
          <w:rStyle w:val="Internetlink"/>
          <w:rFonts w:eastAsia="Calibri" w:cs="Tahoma"/>
          <w:color w:val="000000"/>
          <w:sz w:val="24"/>
          <w:szCs w:val="24"/>
          <w:u w:val="none"/>
        </w:rPr>
        <w:t>_________________________________________________________________________</w:t>
      </w:r>
    </w:p>
    <w:p>
      <w:pPr>
        <w:pStyle w:val="Normal"/>
        <w:rPr/>
      </w:pPr>
      <w:r>
        <w:rPr>
          <w:rStyle w:val="Internetlink"/>
          <w:rFonts w:eastAsia="Calibri" w:cs="Tahoma"/>
          <w:color w:val="000000"/>
          <w:sz w:val="24"/>
          <w:szCs w:val="24"/>
          <w:u w:val="none"/>
        </w:rPr>
        <w:t>Kako bi se osigurao ekološki i gospodarski održiv razvoj regije, Komisija se zalaže za to da se novac iz fonda ulaže posebno u gospodarske sektore ___</w:t>
        <w:br/>
      </w:r>
    </w:p>
    <w:p>
      <w:pPr>
        <w:pStyle w:val="Normal"/>
        <w:widowControl/>
        <w:suppressAutoHyphens w:val="true"/>
        <w:bidi w:val="0"/>
        <w:spacing w:lineRule="auto" w:line="259" w:before="0" w:after="160"/>
        <w:jc w:val="left"/>
        <w:textAlignment w:val="baseline"/>
        <w:rPr/>
      </w:pPr>
      <w:r>
        <w:rPr/>
      </w:r>
    </w:p>
    <w:sectPr>
      <w:headerReference w:type="default" r:id="rId14"/>
      <w:headerReference w:type="first" r:id="rId15"/>
      <w:footerReference w:type="default" r:id="rId16"/>
      <w:footerReference w:type="first" r:id="rId17"/>
      <w:type w:val="nextPage"/>
      <w:pgSz w:w="11906" w:h="16838"/>
      <w:pgMar w:left="1417" w:right="1417" w:gutter="0" w:header="708" w:top="1417" w:footer="708" w:bottom="1417"/>
      <w:pgNumType w:start="1" w:fmt="decimal"/>
      <w:formProt w:val="false"/>
      <w:titlePg/>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OpenSymbol">
    <w:altName w:val="Arial Unicode MS"/>
    <w:charset w:val="00"/>
    <w:family w:val="roman"/>
    <w:pitch w:val="variable"/>
  </w:font>
  <w:font w:name="Segoe UI">
    <w:charset w:val="00"/>
    <w:family w:val="roman"/>
    <w:pitch w:val="variable"/>
  </w:font>
  <w:font w:name="Liberation Sans">
    <w:altName w:val="Arial"/>
    <w:charset w:val="00"/>
    <w:family w:val="roman"/>
    <w:pitch w:val="variable"/>
  </w:font>
  <w:font w:name="Calibri Light">
    <w:charset w:val="00"/>
    <w:family w:val="roman"/>
    <w:pitch w:val="variable"/>
  </w:font>
  <w:font w:name="Nunito">
    <w:charset w:val="00"/>
    <w:family w:val="roman"/>
    <w:pitch w:val="variable"/>
  </w:font>
  <w:font w:name="Linux Biolinum G">
    <w:charset w:val="00"/>
    <w:family w:val="roman"/>
    <w:pitch w:val="variable"/>
  </w:font>
  <w:font w:name="Courier New">
    <w:charset w:val="01"/>
    <w:family w:val="modern"/>
    <w:pitch w:val="fixed"/>
  </w:font>
  <w:font w:name="Wingdings">
    <w:charset w:val="02"/>
    <w:family w:val="auto"/>
    <w:pitch w:val="variable"/>
  </w:font>
  <w:font w:name="OpenSymbol">
    <w:altName w:val="Arial Unicode MS"/>
    <w:charset w:val="01"/>
    <w:family w:val="auto"/>
    <w:pitch w:val="variable"/>
  </w:font>
  <w:font w:name="Symbol">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center"/>
      <w:rPr/>
    </w:pPr>
    <w:r>
      <w:rPr/>
    </w:r>
  </w:p>
  <w:p>
    <w:pPr>
      <w:pStyle w:val="Fuzeile"/>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t>1</w:t>
    </w:r>
  </w:p>
  <w:p>
    <w:pPr>
      <w:pStyle w:val="Fuzeil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drawing>
        <wp:anchor behindDoc="1" distT="0" distB="0" distL="114300" distR="114300" simplePos="0" locked="0" layoutInCell="0" allowOverlap="1" relativeHeight="23">
          <wp:simplePos x="0" y="0"/>
          <wp:positionH relativeFrom="column">
            <wp:posOffset>-651510</wp:posOffset>
          </wp:positionH>
          <wp:positionV relativeFrom="paragraph">
            <wp:posOffset>-55880</wp:posOffset>
          </wp:positionV>
          <wp:extent cx="2303780" cy="502285"/>
          <wp:effectExtent l="0" t="0" r="0" b="0"/>
          <wp:wrapTopAndBottom/>
          <wp:docPr id="8"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1"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41">
          <wp:simplePos x="0" y="0"/>
          <wp:positionH relativeFrom="column">
            <wp:posOffset>3779520</wp:posOffset>
          </wp:positionH>
          <wp:positionV relativeFrom="paragraph">
            <wp:posOffset>-202565</wp:posOffset>
          </wp:positionV>
          <wp:extent cx="1130300" cy="719455"/>
          <wp:effectExtent l="0" t="0" r="0" b="0"/>
          <wp:wrapSquare wrapText="bothSides"/>
          <wp:docPr id="9"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3" descr=""/>
                  <pic:cNvPicPr>
                    <a:picLocks noChangeAspect="1" noChangeArrowheads="1"/>
                  </pic:cNvPicPr>
                </pic:nvPicPr>
                <pic:blipFill>
                  <a:blip r:embed="rId2"/>
                  <a:stretch>
                    <a:fillRect/>
                  </a:stretch>
                </pic:blipFill>
                <pic:spPr bwMode="auto">
                  <a:xfrm>
                    <a:off x="0" y="0"/>
                    <a:ext cx="1130300" cy="719455"/>
                  </a:xfrm>
                  <a:prstGeom prst="rect">
                    <a:avLst/>
                  </a:prstGeom>
                </pic:spPr>
              </pic:pic>
            </a:graphicData>
          </a:graphic>
        </wp:anchor>
      </w:drawing>
      <w:drawing>
        <wp:anchor behindDoc="0" distT="0" distB="0" distL="114300" distR="114300" simplePos="0" locked="0" layoutInCell="0" allowOverlap="1" relativeHeight="59">
          <wp:simplePos x="0" y="0"/>
          <wp:positionH relativeFrom="column">
            <wp:posOffset>5008880</wp:posOffset>
          </wp:positionH>
          <wp:positionV relativeFrom="paragraph">
            <wp:posOffset>-374015</wp:posOffset>
          </wp:positionV>
          <wp:extent cx="1409700" cy="1080135"/>
          <wp:effectExtent l="0" t="0" r="0" b="0"/>
          <wp:wrapTight wrapText="bothSides">
            <wp:wrapPolygon edited="0">
              <wp:start x="-8" y="0"/>
              <wp:lineTo x="-8" y="21321"/>
              <wp:lineTo x="21305" y="21321"/>
              <wp:lineTo x="21305" y="0"/>
              <wp:lineTo x="-8" y="0"/>
            </wp:wrapPolygon>
          </wp:wrapTight>
          <wp:docPr id="10" name="Grafik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3" descr=""/>
                  <pic:cNvPicPr>
                    <a:picLocks noChangeAspect="1" noChangeArrowheads="1"/>
                  </pic:cNvPicPr>
                </pic:nvPicPr>
                <pic:blipFill>
                  <a:blip r:embed="rId3"/>
                  <a:srcRect l="0" t="8738" r="0" b="14572"/>
                  <a:stretch>
                    <a:fillRect/>
                  </a:stretch>
                </pic:blipFill>
                <pic:spPr bwMode="auto">
                  <a:xfrm>
                    <a:off x="0" y="0"/>
                    <a:ext cx="1409700" cy="1080135"/>
                  </a:xfrm>
                  <a:prstGeom prst="rect">
                    <a:avLst/>
                  </a:prstGeom>
                </pic:spPr>
              </pic:pic>
            </a:graphicData>
          </a:graphic>
        </wp:anchor>
      </w:drawing>
    </w:r>
    <w:r>
      <w:rPr/>
      <w:tab/>
    </w:r>
  </w:p>
  <w:p>
    <w:pPr>
      <w:pStyle w:val="Kopfzeile"/>
      <w:rPr/>
    </w:pPr>
    <w:r>
      <w:rPr/>
    </w:r>
  </w:p>
  <w:p>
    <w:pPr>
      <w:pStyle w:val="Kopfzeile"/>
      <w:rPr/>
    </w:pPr>
    <w:r>
      <w:rPr/>
    </w:r>
  </w:p>
  <w:p>
    <w:pPr>
      <w:pStyle w:val="Kopfzeile"/>
      <w:rPr/>
    </w:pPr>
    <w:r>
      <w:rPr/>
    </w:r>
  </w:p>
  <w:p>
    <w:pPr>
      <w:pStyle w:val="Kopfzeile"/>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60">
          <wp:simplePos x="0" y="0"/>
          <wp:positionH relativeFrom="column">
            <wp:posOffset>-588010</wp:posOffset>
          </wp:positionH>
          <wp:positionV relativeFrom="paragraph">
            <wp:posOffset>64770</wp:posOffset>
          </wp:positionV>
          <wp:extent cx="2303780" cy="502285"/>
          <wp:effectExtent l="0" t="0" r="0" b="0"/>
          <wp:wrapTopAndBottom/>
          <wp:docPr id="11"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61">
          <wp:simplePos x="0" y="0"/>
          <wp:positionH relativeFrom="column">
            <wp:posOffset>3578225</wp:posOffset>
          </wp:positionH>
          <wp:positionV relativeFrom="paragraph">
            <wp:posOffset>-104775</wp:posOffset>
          </wp:positionV>
          <wp:extent cx="1130935" cy="684530"/>
          <wp:effectExtent l="0" t="0" r="0" b="0"/>
          <wp:wrapSquare wrapText="bothSides"/>
          <wp:docPr id="1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2" descr=""/>
                  <pic:cNvPicPr>
                    <a:picLocks noChangeAspect="1" noChangeArrowheads="1"/>
                  </pic:cNvPicPr>
                </pic:nvPicPr>
                <pic:blipFill>
                  <a:blip r:embed="rId2"/>
                  <a:stretch>
                    <a:fillRect/>
                  </a:stretch>
                </pic:blipFill>
                <pic:spPr bwMode="auto">
                  <a:xfrm>
                    <a:off x="0" y="0"/>
                    <a:ext cx="1130935" cy="684530"/>
                  </a:xfrm>
                  <a:prstGeom prst="rect">
                    <a:avLst/>
                  </a:prstGeom>
                </pic:spPr>
              </pic:pic>
            </a:graphicData>
          </a:graphic>
        </wp:anchor>
      </w:drawing>
      <w:drawing>
        <wp:anchor behindDoc="0" distT="0" distB="0" distL="114300" distR="114300" simplePos="0" locked="0" layoutInCell="0" allowOverlap="1" relativeHeight="62">
          <wp:simplePos x="0" y="0"/>
          <wp:positionH relativeFrom="column">
            <wp:posOffset>4949190</wp:posOffset>
          </wp:positionH>
          <wp:positionV relativeFrom="paragraph">
            <wp:posOffset>-418465</wp:posOffset>
          </wp:positionV>
          <wp:extent cx="1439545" cy="1102995"/>
          <wp:effectExtent l="0" t="0" r="0" b="0"/>
          <wp:wrapTight wrapText="bothSides">
            <wp:wrapPolygon edited="0">
              <wp:start x="-8" y="0"/>
              <wp:lineTo x="-8" y="21252"/>
              <wp:lineTo x="21430" y="21252"/>
              <wp:lineTo x="21430" y="0"/>
              <wp:lineTo x="-8" y="0"/>
            </wp:wrapPolygon>
          </wp:wrapTight>
          <wp:docPr id="13" name="Grafik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1" descr=""/>
                  <pic:cNvPicPr>
                    <a:picLocks noChangeAspect="1" noChangeArrowheads="1"/>
                  </pic:cNvPicPr>
                </pic:nvPicPr>
                <pic:blipFill>
                  <a:blip r:embed="rId3"/>
                  <a:srcRect l="0" t="8738" r="0" b="14572"/>
                  <a:stretch>
                    <a:fillRect/>
                  </a:stretch>
                </pic:blipFill>
                <pic:spPr bwMode="auto">
                  <a:xfrm>
                    <a:off x="0" y="0"/>
                    <a:ext cx="1439545" cy="1102995"/>
                  </a:xfrm>
                  <a:prstGeom prst="rect">
                    <a:avLst/>
                  </a:prstGeom>
                </pic:spPr>
              </pic:pic>
            </a:graphicData>
          </a:graphic>
        </wp:anchor>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
    <w:lvl w:ilvl="0">
      <w:start w:val="1"/>
      <w:numFmt w:val="decimal"/>
      <w:lvlText w:val="%1)"/>
      <w:lvlJc w:val="left"/>
      <w:pPr>
        <w:tabs>
          <w:tab w:val="num" w:pos="0"/>
        </w:tabs>
        <w:ind w:left="720" w:hanging="360"/>
      </w:pPr>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3">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4">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5">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6">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7">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8">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9">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0">
    <w:lvl w:ilvl="0">
      <w:numFmt w:val="bullet"/>
      <w:lvlText w:val=""/>
      <w:lvlJc w:val="left"/>
      <w:pPr>
        <w:tabs>
          <w:tab w:val="num" w:pos="0"/>
        </w:tabs>
        <w:ind w:left="1080" w:hanging="360"/>
      </w:pPr>
      <w:rPr>
        <w:rFonts w:ascii="Symbol" w:hAnsi="Symbol" w:cs="Symbol" w:hint="default"/>
      </w:rPr>
    </w:lvl>
    <w:lvl w:ilvl="1">
      <w:start w:val="0"/>
      <w:numFmt w:val="bullet"/>
      <w:lvlText w:val="◦"/>
      <w:lvlJc w:val="left"/>
      <w:pPr>
        <w:tabs>
          <w:tab w:val="num" w:pos="0"/>
        </w:tabs>
        <w:ind w:left="1440" w:hanging="360"/>
      </w:pPr>
      <w:rPr>
        <w:rFonts w:ascii="OpenSymbol" w:hAnsi="OpenSymbol" w:cs="OpenSymbol" w:hint="default"/>
      </w:rPr>
    </w:lvl>
    <w:lvl w:ilvl="2">
      <w:start w:val="0"/>
      <w:numFmt w:val="bullet"/>
      <w:lvlText w:val="▪"/>
      <w:lvlJc w:val="left"/>
      <w:pPr>
        <w:tabs>
          <w:tab w:val="num" w:pos="0"/>
        </w:tabs>
        <w:ind w:left="1800" w:hanging="360"/>
      </w:pPr>
      <w:rPr>
        <w:rFonts w:ascii="OpenSymbol" w:hAnsi="OpenSymbol" w:cs="OpenSymbol" w:hint="default"/>
      </w:rPr>
    </w:lvl>
    <w:lvl w:ilvl="3">
      <w:start w:val="0"/>
      <w:numFmt w:val="bullet"/>
      <w:lvlText w:val=""/>
      <w:lvlJc w:val="left"/>
      <w:pPr>
        <w:tabs>
          <w:tab w:val="num" w:pos="0"/>
        </w:tabs>
        <w:ind w:left="2160" w:hanging="360"/>
      </w:pPr>
      <w:rPr>
        <w:rFonts w:ascii="Symbol" w:hAnsi="Symbol" w:cs="Symbol" w:hint="default"/>
      </w:rPr>
    </w:lvl>
    <w:lvl w:ilvl="4">
      <w:start w:val="0"/>
      <w:numFmt w:val="bullet"/>
      <w:lvlText w:val="◦"/>
      <w:lvlJc w:val="left"/>
      <w:pPr>
        <w:tabs>
          <w:tab w:val="num" w:pos="0"/>
        </w:tabs>
        <w:ind w:left="2520" w:hanging="360"/>
      </w:pPr>
      <w:rPr>
        <w:rFonts w:ascii="OpenSymbol" w:hAnsi="OpenSymbol" w:cs="OpenSymbol" w:hint="default"/>
      </w:rPr>
    </w:lvl>
    <w:lvl w:ilvl="5">
      <w:start w:val="0"/>
      <w:numFmt w:val="bullet"/>
      <w:lvlText w:val="▪"/>
      <w:lvlJc w:val="left"/>
      <w:pPr>
        <w:tabs>
          <w:tab w:val="num" w:pos="0"/>
        </w:tabs>
        <w:ind w:left="2880" w:hanging="360"/>
      </w:pPr>
      <w:rPr>
        <w:rFonts w:ascii="OpenSymbol" w:hAnsi="OpenSymbol" w:cs="OpenSymbol" w:hint="default"/>
      </w:rPr>
    </w:lvl>
    <w:lvl w:ilvl="6">
      <w:start w:val="0"/>
      <w:numFmt w:val="bullet"/>
      <w:lvlText w:val=""/>
      <w:lvlJc w:val="left"/>
      <w:pPr>
        <w:tabs>
          <w:tab w:val="num" w:pos="0"/>
        </w:tabs>
        <w:ind w:left="3240" w:hanging="360"/>
      </w:pPr>
      <w:rPr>
        <w:rFonts w:ascii="Symbol" w:hAnsi="Symbol" w:cs="Symbol" w:hint="default"/>
      </w:rPr>
    </w:lvl>
    <w:lvl w:ilvl="7">
      <w:start w:val="0"/>
      <w:numFmt w:val="bullet"/>
      <w:lvlText w:val="◦"/>
      <w:lvlJc w:val="left"/>
      <w:pPr>
        <w:tabs>
          <w:tab w:val="num" w:pos="0"/>
        </w:tabs>
        <w:ind w:left="3600" w:hanging="360"/>
      </w:pPr>
      <w:rPr>
        <w:rFonts w:ascii="OpenSymbol" w:hAnsi="OpenSymbol" w:cs="OpenSymbol" w:hint="default"/>
      </w:rPr>
    </w:lvl>
    <w:lvl w:ilvl="8">
      <w:start w:val="0"/>
      <w:numFmt w:val="bullet"/>
      <w:lvlText w:val="▪"/>
      <w:lvlJc w:val="left"/>
      <w:pPr>
        <w:tabs>
          <w:tab w:val="num" w:pos="0"/>
        </w:tabs>
        <w:ind w:left="3960" w:hanging="360"/>
      </w:pPr>
      <w:rPr>
        <w:rFonts w:ascii="OpenSymbol" w:hAnsi="OpenSymbol" w:cs="OpenSymbol" w:hint="default"/>
      </w:rPr>
    </w:lvl>
  </w:abstractNum>
  <w:abstractNum w:abstractNumId="11">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2">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3">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4">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5">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6">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17">
    <w:lvl w:ilvl="0">
      <w:numFmt w:val="bullet"/>
      <w:lvlText w:val=""/>
      <w:lvlJc w:val="left"/>
      <w:pPr>
        <w:tabs>
          <w:tab w:val="num" w:pos="0"/>
        </w:tabs>
        <w:ind w:left="720" w:hanging="360"/>
      </w:pPr>
      <w:rPr>
        <w:rFonts w:ascii="Symbol" w:hAnsi="Symbol" w:cs="Symbol" w:hint="default"/>
        <w:sz w:val="20"/>
      </w:rPr>
    </w:lvl>
    <w:lvl w:ilvl="1">
      <w:start w:val="0"/>
      <w:numFmt w:val="bullet"/>
      <w:lvlText w:val="o"/>
      <w:lvlJc w:val="left"/>
      <w:pPr>
        <w:tabs>
          <w:tab w:val="num" w:pos="0"/>
        </w:tabs>
        <w:ind w:left="1440" w:hanging="360"/>
      </w:pPr>
      <w:rPr>
        <w:rFonts w:ascii="Courier New" w:hAnsi="Courier New" w:cs="Courier New" w:hint="default"/>
        <w:sz w:val="20"/>
      </w:rPr>
    </w:lvl>
    <w:lvl w:ilvl="2">
      <w:start w:val="0"/>
      <w:numFmt w:val="bullet"/>
      <w:lvlText w:val=""/>
      <w:lvlJc w:val="left"/>
      <w:pPr>
        <w:tabs>
          <w:tab w:val="num" w:pos="0"/>
        </w:tabs>
        <w:ind w:left="2160" w:hanging="360"/>
      </w:pPr>
      <w:rPr>
        <w:rFonts w:ascii="Wingdings" w:hAnsi="Wingdings" w:cs="Wingdings" w:hint="default"/>
        <w:sz w:val="20"/>
      </w:rPr>
    </w:lvl>
    <w:lvl w:ilvl="3">
      <w:start w:val="0"/>
      <w:numFmt w:val="bullet"/>
      <w:lvlText w:val=""/>
      <w:lvlJc w:val="left"/>
      <w:pPr>
        <w:tabs>
          <w:tab w:val="num" w:pos="0"/>
        </w:tabs>
        <w:ind w:left="2880" w:hanging="360"/>
      </w:pPr>
      <w:rPr>
        <w:rFonts w:ascii="Wingdings" w:hAnsi="Wingdings" w:cs="Wingdings" w:hint="default"/>
        <w:sz w:val="20"/>
      </w:rPr>
    </w:lvl>
    <w:lvl w:ilvl="4">
      <w:start w:val="0"/>
      <w:numFmt w:val="bullet"/>
      <w:lvlText w:val=""/>
      <w:lvlJc w:val="left"/>
      <w:pPr>
        <w:tabs>
          <w:tab w:val="num" w:pos="0"/>
        </w:tabs>
        <w:ind w:left="3600" w:hanging="360"/>
      </w:pPr>
      <w:rPr>
        <w:rFonts w:ascii="Wingdings" w:hAnsi="Wingdings" w:cs="Wingdings" w:hint="default"/>
        <w:sz w:val="20"/>
      </w:rPr>
    </w:lvl>
    <w:lvl w:ilvl="5">
      <w:start w:val="0"/>
      <w:numFmt w:val="bullet"/>
      <w:lvlText w:val=""/>
      <w:lvlJc w:val="left"/>
      <w:pPr>
        <w:tabs>
          <w:tab w:val="num" w:pos="0"/>
        </w:tabs>
        <w:ind w:left="4320" w:hanging="360"/>
      </w:pPr>
      <w:rPr>
        <w:rFonts w:ascii="Wingdings" w:hAnsi="Wingdings" w:cs="Wingdings" w:hint="default"/>
        <w:sz w:val="20"/>
      </w:rPr>
    </w:lvl>
    <w:lvl w:ilvl="6">
      <w:start w:val="0"/>
      <w:numFmt w:val="bullet"/>
      <w:lvlText w:val=""/>
      <w:lvlJc w:val="left"/>
      <w:pPr>
        <w:tabs>
          <w:tab w:val="num" w:pos="0"/>
        </w:tabs>
        <w:ind w:left="5040" w:hanging="360"/>
      </w:pPr>
      <w:rPr>
        <w:rFonts w:ascii="Wingdings" w:hAnsi="Wingdings" w:cs="Wingdings" w:hint="default"/>
        <w:sz w:val="20"/>
      </w:rPr>
    </w:lvl>
    <w:lvl w:ilvl="7">
      <w:start w:val="0"/>
      <w:numFmt w:val="bullet"/>
      <w:lvlText w:val=""/>
      <w:lvlJc w:val="left"/>
      <w:pPr>
        <w:tabs>
          <w:tab w:val="num" w:pos="0"/>
        </w:tabs>
        <w:ind w:left="5760" w:hanging="360"/>
      </w:pPr>
      <w:rPr>
        <w:rFonts w:ascii="Wingdings" w:hAnsi="Wingdings" w:cs="Wingdings" w:hint="default"/>
        <w:sz w:val="20"/>
      </w:rPr>
    </w:lvl>
    <w:lvl w:ilvl="8">
      <w:start w:val="0"/>
      <w:numFmt w:val="bullet"/>
      <w:lvlText w:val=""/>
      <w:lvlJc w:val="left"/>
      <w:pPr>
        <w:tabs>
          <w:tab w:val="num" w:pos="0"/>
        </w:tabs>
        <w:ind w:left="6480" w:hanging="360"/>
      </w:pPr>
      <w:rPr>
        <w:rFonts w:ascii="Wingdings" w:hAnsi="Wingdings" w:cs="Wingdings" w:hint="default"/>
        <w:sz w:val="20"/>
      </w:rPr>
    </w:lvl>
  </w:abstractNum>
  <w:abstractNum w:abstractNumId="18">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19">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20">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1">
    <w:lvl w:ilvl="0">
      <w:numFmt w:val="bullet"/>
      <w:lvlText w:val=""/>
      <w:lvlJc w:val="left"/>
      <w:pPr>
        <w:tabs>
          <w:tab w:val="num" w:pos="0"/>
        </w:tabs>
        <w:ind w:left="709" w:hanging="283"/>
      </w:pPr>
      <w:rPr>
        <w:rFonts w:ascii="Symbol" w:hAnsi="Symbol" w:cs="Symbol" w:hint="default"/>
      </w:rPr>
    </w:lvl>
    <w:lvl w:ilvl="1">
      <w:start w:val="0"/>
      <w:numFmt w:val="bullet"/>
      <w:lvlText w:val=""/>
      <w:lvlJc w:val="left"/>
      <w:pPr>
        <w:tabs>
          <w:tab w:val="num" w:pos="0"/>
        </w:tabs>
        <w:ind w:left="1418" w:hanging="283"/>
      </w:pPr>
      <w:rPr>
        <w:rFonts w:ascii="Symbol" w:hAnsi="Symbol" w:cs="Symbol" w:hint="default"/>
      </w:rPr>
    </w:lvl>
    <w:lvl w:ilvl="2">
      <w:start w:val="0"/>
      <w:numFmt w:val="bullet"/>
      <w:lvlText w:val=""/>
      <w:lvlJc w:val="left"/>
      <w:pPr>
        <w:tabs>
          <w:tab w:val="num" w:pos="0"/>
        </w:tabs>
        <w:ind w:left="2127" w:hanging="283"/>
      </w:pPr>
      <w:rPr>
        <w:rFonts w:ascii="Symbol" w:hAnsi="Symbol" w:cs="Symbol" w:hint="default"/>
      </w:rPr>
    </w:lvl>
    <w:lvl w:ilvl="3">
      <w:start w:val="0"/>
      <w:numFmt w:val="bullet"/>
      <w:lvlText w:val=""/>
      <w:lvlJc w:val="left"/>
      <w:pPr>
        <w:tabs>
          <w:tab w:val="num" w:pos="0"/>
        </w:tabs>
        <w:ind w:left="2836" w:hanging="283"/>
      </w:pPr>
      <w:rPr>
        <w:rFonts w:ascii="Symbol" w:hAnsi="Symbol" w:cs="Symbol" w:hint="default"/>
      </w:rPr>
    </w:lvl>
    <w:lvl w:ilvl="4">
      <w:start w:val="0"/>
      <w:numFmt w:val="bullet"/>
      <w:lvlText w:val=""/>
      <w:lvlJc w:val="left"/>
      <w:pPr>
        <w:tabs>
          <w:tab w:val="num" w:pos="0"/>
        </w:tabs>
        <w:ind w:left="3545" w:hanging="283"/>
      </w:pPr>
      <w:rPr>
        <w:rFonts w:ascii="Symbol" w:hAnsi="Symbol" w:cs="Symbol" w:hint="default"/>
      </w:rPr>
    </w:lvl>
    <w:lvl w:ilvl="5">
      <w:start w:val="0"/>
      <w:numFmt w:val="bullet"/>
      <w:lvlText w:val=""/>
      <w:lvlJc w:val="left"/>
      <w:pPr>
        <w:tabs>
          <w:tab w:val="num" w:pos="0"/>
        </w:tabs>
        <w:ind w:left="4254" w:hanging="283"/>
      </w:pPr>
      <w:rPr>
        <w:rFonts w:ascii="Symbol" w:hAnsi="Symbol" w:cs="Symbol" w:hint="default"/>
      </w:rPr>
    </w:lvl>
    <w:lvl w:ilvl="6">
      <w:start w:val="0"/>
      <w:numFmt w:val="bullet"/>
      <w:lvlText w:val=""/>
      <w:lvlJc w:val="left"/>
      <w:pPr>
        <w:tabs>
          <w:tab w:val="num" w:pos="0"/>
        </w:tabs>
        <w:ind w:left="4963" w:hanging="283"/>
      </w:pPr>
      <w:rPr>
        <w:rFonts w:ascii="Symbol" w:hAnsi="Symbol" w:cs="Symbol" w:hint="default"/>
      </w:rPr>
    </w:lvl>
    <w:lvl w:ilvl="7">
      <w:start w:val="0"/>
      <w:numFmt w:val="bullet"/>
      <w:lvlText w:val=""/>
      <w:lvlJc w:val="left"/>
      <w:pPr>
        <w:tabs>
          <w:tab w:val="num" w:pos="0"/>
        </w:tabs>
        <w:ind w:left="5672" w:hanging="283"/>
      </w:pPr>
      <w:rPr>
        <w:rFonts w:ascii="Symbol" w:hAnsi="Symbol" w:cs="Symbol" w:hint="default"/>
      </w:rPr>
    </w:lvl>
    <w:lvl w:ilvl="8">
      <w:start w:val="0"/>
      <w:numFmt w:val="bullet"/>
      <w:lvlText w:val=""/>
      <w:lvlJc w:val="left"/>
      <w:pPr>
        <w:tabs>
          <w:tab w:val="num" w:pos="0"/>
        </w:tabs>
        <w:ind w:left="6381" w:hanging="283"/>
      </w:pPr>
      <w:rPr>
        <w:rFonts w:ascii="Symbol" w:hAnsi="Symbol" w:cs="Symbol" w:hint="default"/>
      </w:rPr>
    </w:lvl>
  </w:abstractNum>
  <w:abstractNum w:abstractNumId="22">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3">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4">
    <w:lvl w:ilvl="0">
      <w:start w:val="1"/>
      <w:numFmt w:val="decimal"/>
      <w:lvlText w:val="%1)"/>
      <w:lvlJc w:val="left"/>
      <w:pPr>
        <w:tabs>
          <w:tab w:val="num" w:pos="0"/>
        </w:tabs>
        <w:ind w:left="720" w:hanging="360"/>
      </w:pPr>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25">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6">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7">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8">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9">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0">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1">
    <w:lvl w:ilvl="0">
      <w:numFmt w:val="bullet"/>
      <w:lvlText w:val=""/>
      <w:lvlJc w:val="left"/>
      <w:pPr>
        <w:tabs>
          <w:tab w:val="num" w:pos="0"/>
        </w:tabs>
        <w:ind w:left="1080" w:hanging="360"/>
      </w:pPr>
      <w:rPr>
        <w:rFonts w:ascii="Symbol" w:hAnsi="Symbol" w:cs="Symbol" w:hint="default"/>
      </w:rPr>
    </w:lvl>
    <w:lvl w:ilvl="1">
      <w:start w:val="0"/>
      <w:numFmt w:val="bullet"/>
      <w:lvlText w:val="◦"/>
      <w:lvlJc w:val="left"/>
      <w:pPr>
        <w:tabs>
          <w:tab w:val="num" w:pos="0"/>
        </w:tabs>
        <w:ind w:left="1440" w:hanging="360"/>
      </w:pPr>
      <w:rPr>
        <w:rFonts w:ascii="OpenSymbol" w:hAnsi="OpenSymbol" w:cs="OpenSymbol" w:hint="default"/>
      </w:rPr>
    </w:lvl>
    <w:lvl w:ilvl="2">
      <w:start w:val="0"/>
      <w:numFmt w:val="bullet"/>
      <w:lvlText w:val="▪"/>
      <w:lvlJc w:val="left"/>
      <w:pPr>
        <w:tabs>
          <w:tab w:val="num" w:pos="0"/>
        </w:tabs>
        <w:ind w:left="1800" w:hanging="360"/>
      </w:pPr>
      <w:rPr>
        <w:rFonts w:ascii="OpenSymbol" w:hAnsi="OpenSymbol" w:cs="OpenSymbol" w:hint="default"/>
      </w:rPr>
    </w:lvl>
    <w:lvl w:ilvl="3">
      <w:start w:val="0"/>
      <w:numFmt w:val="bullet"/>
      <w:lvlText w:val=""/>
      <w:lvlJc w:val="left"/>
      <w:pPr>
        <w:tabs>
          <w:tab w:val="num" w:pos="0"/>
        </w:tabs>
        <w:ind w:left="2160" w:hanging="360"/>
      </w:pPr>
      <w:rPr>
        <w:rFonts w:ascii="Symbol" w:hAnsi="Symbol" w:cs="Symbol" w:hint="default"/>
      </w:rPr>
    </w:lvl>
    <w:lvl w:ilvl="4">
      <w:start w:val="0"/>
      <w:numFmt w:val="bullet"/>
      <w:lvlText w:val="◦"/>
      <w:lvlJc w:val="left"/>
      <w:pPr>
        <w:tabs>
          <w:tab w:val="num" w:pos="0"/>
        </w:tabs>
        <w:ind w:left="2520" w:hanging="360"/>
      </w:pPr>
      <w:rPr>
        <w:rFonts w:ascii="OpenSymbol" w:hAnsi="OpenSymbol" w:cs="OpenSymbol" w:hint="default"/>
      </w:rPr>
    </w:lvl>
    <w:lvl w:ilvl="5">
      <w:start w:val="0"/>
      <w:numFmt w:val="bullet"/>
      <w:lvlText w:val="▪"/>
      <w:lvlJc w:val="left"/>
      <w:pPr>
        <w:tabs>
          <w:tab w:val="num" w:pos="0"/>
        </w:tabs>
        <w:ind w:left="2880" w:hanging="360"/>
      </w:pPr>
      <w:rPr>
        <w:rFonts w:ascii="OpenSymbol" w:hAnsi="OpenSymbol" w:cs="OpenSymbol" w:hint="default"/>
      </w:rPr>
    </w:lvl>
    <w:lvl w:ilvl="6">
      <w:start w:val="0"/>
      <w:numFmt w:val="bullet"/>
      <w:lvlText w:val=""/>
      <w:lvlJc w:val="left"/>
      <w:pPr>
        <w:tabs>
          <w:tab w:val="num" w:pos="0"/>
        </w:tabs>
        <w:ind w:left="3240" w:hanging="360"/>
      </w:pPr>
      <w:rPr>
        <w:rFonts w:ascii="Symbol" w:hAnsi="Symbol" w:cs="Symbol" w:hint="default"/>
      </w:rPr>
    </w:lvl>
    <w:lvl w:ilvl="7">
      <w:start w:val="0"/>
      <w:numFmt w:val="bullet"/>
      <w:lvlText w:val="◦"/>
      <w:lvlJc w:val="left"/>
      <w:pPr>
        <w:tabs>
          <w:tab w:val="num" w:pos="0"/>
        </w:tabs>
        <w:ind w:left="3600" w:hanging="360"/>
      </w:pPr>
      <w:rPr>
        <w:rFonts w:ascii="OpenSymbol" w:hAnsi="OpenSymbol" w:cs="OpenSymbol" w:hint="default"/>
      </w:rPr>
    </w:lvl>
    <w:lvl w:ilvl="8">
      <w:start w:val="0"/>
      <w:numFmt w:val="bullet"/>
      <w:lvlText w:val="▪"/>
      <w:lvlJc w:val="left"/>
      <w:pPr>
        <w:tabs>
          <w:tab w:val="num" w:pos="0"/>
        </w:tabs>
        <w:ind w:left="3960" w:hanging="360"/>
      </w:pPr>
      <w:rPr>
        <w:rFonts w:ascii="OpenSymbol" w:hAnsi="OpenSymbol" w:cs="OpenSymbol" w:hint="default"/>
      </w:rPr>
    </w:lvl>
  </w:abstractNum>
  <w:abstractNum w:abstractNumId="32">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3">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34">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5">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6">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7">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8">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9">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Symbol" w:hAnsi="Symbol" w:cs="Symbol"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Symbol" w:hAnsi="Symbol" w:cs="Symbol"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40">
    <w:lvl w:ilvl="0">
      <w:numFmt w:val="bullet"/>
      <w:lvlText w:val=""/>
      <w:lvlJc w:val="left"/>
      <w:pPr>
        <w:tabs>
          <w:tab w:val="num" w:pos="0"/>
        </w:tabs>
        <w:ind w:left="720" w:hanging="360"/>
      </w:pPr>
      <w:rPr>
        <w:rFonts w:ascii="Symbol" w:hAnsi="Symbol" w:cs="Symbol" w:hint="default"/>
        <w:sz w:val="20"/>
      </w:rPr>
    </w:lvl>
    <w:lvl w:ilvl="1">
      <w:start w:val="0"/>
      <w:numFmt w:val="bullet"/>
      <w:lvlText w:val="o"/>
      <w:lvlJc w:val="left"/>
      <w:pPr>
        <w:tabs>
          <w:tab w:val="num" w:pos="0"/>
        </w:tabs>
        <w:ind w:left="1440" w:hanging="360"/>
      </w:pPr>
      <w:rPr>
        <w:rFonts w:ascii="Courier New" w:hAnsi="Courier New" w:cs="Courier New" w:hint="default"/>
        <w:sz w:val="20"/>
      </w:rPr>
    </w:lvl>
    <w:lvl w:ilvl="2">
      <w:start w:val="0"/>
      <w:numFmt w:val="bullet"/>
      <w:lvlText w:val=""/>
      <w:lvlJc w:val="left"/>
      <w:pPr>
        <w:tabs>
          <w:tab w:val="num" w:pos="0"/>
        </w:tabs>
        <w:ind w:left="2160" w:hanging="360"/>
      </w:pPr>
      <w:rPr>
        <w:rFonts w:ascii="Wingdings" w:hAnsi="Wingdings" w:cs="Wingdings" w:hint="default"/>
        <w:sz w:val="20"/>
      </w:rPr>
    </w:lvl>
    <w:lvl w:ilvl="3">
      <w:start w:val="0"/>
      <w:numFmt w:val="bullet"/>
      <w:lvlText w:val=""/>
      <w:lvlJc w:val="left"/>
      <w:pPr>
        <w:tabs>
          <w:tab w:val="num" w:pos="0"/>
        </w:tabs>
        <w:ind w:left="2880" w:hanging="360"/>
      </w:pPr>
      <w:rPr>
        <w:rFonts w:ascii="Wingdings" w:hAnsi="Wingdings" w:cs="Wingdings" w:hint="default"/>
        <w:sz w:val="20"/>
      </w:rPr>
    </w:lvl>
    <w:lvl w:ilvl="4">
      <w:start w:val="0"/>
      <w:numFmt w:val="bullet"/>
      <w:lvlText w:val=""/>
      <w:lvlJc w:val="left"/>
      <w:pPr>
        <w:tabs>
          <w:tab w:val="num" w:pos="0"/>
        </w:tabs>
        <w:ind w:left="3600" w:hanging="360"/>
      </w:pPr>
      <w:rPr>
        <w:rFonts w:ascii="Wingdings" w:hAnsi="Wingdings" w:cs="Wingdings" w:hint="default"/>
        <w:sz w:val="20"/>
      </w:rPr>
    </w:lvl>
    <w:lvl w:ilvl="5">
      <w:start w:val="0"/>
      <w:numFmt w:val="bullet"/>
      <w:lvlText w:val=""/>
      <w:lvlJc w:val="left"/>
      <w:pPr>
        <w:tabs>
          <w:tab w:val="num" w:pos="0"/>
        </w:tabs>
        <w:ind w:left="4320" w:hanging="360"/>
      </w:pPr>
      <w:rPr>
        <w:rFonts w:ascii="Wingdings" w:hAnsi="Wingdings" w:cs="Wingdings" w:hint="default"/>
        <w:sz w:val="20"/>
      </w:rPr>
    </w:lvl>
    <w:lvl w:ilvl="6">
      <w:start w:val="0"/>
      <w:numFmt w:val="bullet"/>
      <w:lvlText w:val=""/>
      <w:lvlJc w:val="left"/>
      <w:pPr>
        <w:tabs>
          <w:tab w:val="num" w:pos="0"/>
        </w:tabs>
        <w:ind w:left="5040" w:hanging="360"/>
      </w:pPr>
      <w:rPr>
        <w:rFonts w:ascii="Wingdings" w:hAnsi="Wingdings" w:cs="Wingdings" w:hint="default"/>
        <w:sz w:val="20"/>
      </w:rPr>
    </w:lvl>
    <w:lvl w:ilvl="7">
      <w:start w:val="0"/>
      <w:numFmt w:val="bullet"/>
      <w:lvlText w:val=""/>
      <w:lvlJc w:val="left"/>
      <w:pPr>
        <w:tabs>
          <w:tab w:val="num" w:pos="0"/>
        </w:tabs>
        <w:ind w:left="5760" w:hanging="360"/>
      </w:pPr>
      <w:rPr>
        <w:rFonts w:ascii="Wingdings" w:hAnsi="Wingdings" w:cs="Wingdings" w:hint="default"/>
        <w:sz w:val="20"/>
      </w:rPr>
    </w:lvl>
    <w:lvl w:ilvl="8">
      <w:start w:val="0"/>
      <w:numFmt w:val="bullet"/>
      <w:lvlText w:val=""/>
      <w:lvlJc w:val="left"/>
      <w:pPr>
        <w:tabs>
          <w:tab w:val="num" w:pos="0"/>
        </w:tabs>
        <w:ind w:left="6480" w:hanging="360"/>
      </w:pPr>
      <w:rPr>
        <w:rFonts w:ascii="Wingdings" w:hAnsi="Wingdings" w:cs="Wingdings" w:hint="default"/>
        <w:sz w:val="20"/>
      </w:rPr>
    </w:lvl>
  </w:abstractNum>
  <w:abstractNum w:abstractNumId="41">
    <w:lvl w:ilvl="0">
      <w:numFmt w:val="bullet"/>
      <w:lvlText w:val=""/>
      <w:lvlJc w:val="left"/>
      <w:pPr>
        <w:tabs>
          <w:tab w:val="num" w:pos="0"/>
        </w:tabs>
        <w:ind w:left="720" w:hanging="360"/>
      </w:pPr>
      <w:rPr>
        <w:rFonts w:ascii="Wingdings" w:hAnsi="Wingdings" w:cs="Wingdings"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42">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Courier New" w:hAnsi="Courier New" w:cs="Courier New" w:hint="default"/>
      </w:rPr>
    </w:lvl>
    <w:lvl w:ilvl="2">
      <w:start w:val="0"/>
      <w:numFmt w:val="bullet"/>
      <w:lvlText w:val=""/>
      <w:lvlJc w:val="left"/>
      <w:pPr>
        <w:tabs>
          <w:tab w:val="num" w:pos="0"/>
        </w:tabs>
        <w:ind w:left="2160" w:hanging="360"/>
      </w:pPr>
      <w:rPr>
        <w:rFonts w:ascii="Wingdings" w:hAnsi="Wingdings" w:cs="Wingdings" w:hint="default"/>
      </w:rPr>
    </w:lvl>
    <w:lvl w:ilvl="3">
      <w:start w:val="0"/>
      <w:numFmt w:val="bullet"/>
      <w:lvlText w:val=""/>
      <w:lvlJc w:val="left"/>
      <w:pPr>
        <w:tabs>
          <w:tab w:val="num" w:pos="0"/>
        </w:tabs>
        <w:ind w:left="2880" w:hanging="360"/>
      </w:pPr>
      <w:rPr>
        <w:rFonts w:ascii="Symbol" w:hAnsi="Symbol" w:cs="Symbol" w:hint="default"/>
      </w:rPr>
    </w:lvl>
    <w:lvl w:ilvl="4">
      <w:start w:val="0"/>
      <w:numFmt w:val="bullet"/>
      <w:lvlText w:val="o"/>
      <w:lvlJc w:val="left"/>
      <w:pPr>
        <w:tabs>
          <w:tab w:val="num" w:pos="0"/>
        </w:tabs>
        <w:ind w:left="3600" w:hanging="360"/>
      </w:pPr>
      <w:rPr>
        <w:rFonts w:ascii="Courier New" w:hAnsi="Courier New" w:cs="Courier New" w:hint="default"/>
      </w:rPr>
    </w:lvl>
    <w:lvl w:ilvl="5">
      <w:start w:val="0"/>
      <w:numFmt w:val="bullet"/>
      <w:lvlText w:val=""/>
      <w:lvlJc w:val="left"/>
      <w:pPr>
        <w:tabs>
          <w:tab w:val="num" w:pos="0"/>
        </w:tabs>
        <w:ind w:left="4320" w:hanging="360"/>
      </w:pPr>
      <w:rPr>
        <w:rFonts w:ascii="Wingdings" w:hAnsi="Wingdings" w:cs="Wingdings" w:hint="default"/>
      </w:rPr>
    </w:lvl>
    <w:lvl w:ilvl="6">
      <w:start w:val="0"/>
      <w:numFmt w:val="bullet"/>
      <w:lvlText w:val=""/>
      <w:lvlJc w:val="left"/>
      <w:pPr>
        <w:tabs>
          <w:tab w:val="num" w:pos="0"/>
        </w:tabs>
        <w:ind w:left="5040" w:hanging="360"/>
      </w:pPr>
      <w:rPr>
        <w:rFonts w:ascii="Symbol" w:hAnsi="Symbol" w:cs="Symbol" w:hint="default"/>
      </w:rPr>
    </w:lvl>
    <w:lvl w:ilvl="7">
      <w:start w:val="0"/>
      <w:numFmt w:val="bullet"/>
      <w:lvlText w:val="o"/>
      <w:lvlJc w:val="left"/>
      <w:pPr>
        <w:tabs>
          <w:tab w:val="num" w:pos="0"/>
        </w:tabs>
        <w:ind w:left="5760" w:hanging="360"/>
      </w:pPr>
      <w:rPr>
        <w:rFonts w:ascii="Courier New" w:hAnsi="Courier New" w:cs="Courier New" w:hint="default"/>
      </w:rPr>
    </w:lvl>
    <w:lvl w:ilvl="8">
      <w:start w:val="0"/>
      <w:numFmt w:val="bullet"/>
      <w:lvlText w:val=""/>
      <w:lvlJc w:val="left"/>
      <w:pPr>
        <w:tabs>
          <w:tab w:val="num" w:pos="0"/>
        </w:tabs>
        <w:ind w:left="6480" w:hanging="360"/>
      </w:pPr>
      <w:rPr>
        <w:rFonts w:ascii="Wingdings" w:hAnsi="Wingdings" w:cs="Wingdings" w:hint="default"/>
      </w:rPr>
    </w:lvl>
  </w:abstractNum>
  <w:abstractNum w:abstractNumId="4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pStyle w:val="Berschrift5"/>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23"/>
    <w:lvlOverride w:ilvl="0">
      <w:startOverride w:val="1"/>
    </w:lvlOverride>
  </w:num>
  <w:num w:numId="45">
    <w:abstractNumId w:val="23"/>
  </w:num>
  <w:num w:numId="46">
    <w:abstractNumId w:val="23"/>
  </w:num>
  <w:num w:numId="47">
    <w:abstractNumId w:val="24"/>
    <w:lvlOverride w:ilvl="0">
      <w:startOverride w:val="1"/>
    </w:lvlOverride>
  </w:num>
  <w:num w:numId="48">
    <w:abstractNumId w:val="24"/>
  </w:num>
  <w:num w:numId="49">
    <w:abstractNumId w:val="24"/>
  </w:num>
  <w:num w:numId="50">
    <w:abstractNumId w:val="24"/>
  </w:num>
  <w:num w:numId="51">
    <w:abstractNumId w:val="24"/>
  </w:num>
  <w:num w:numId="52">
    <w:abstractNumId w:val="25"/>
  </w:num>
  <w:num w:numId="53">
    <w:abstractNumId w:val="25"/>
  </w:num>
  <w:num w:numId="54">
    <w:abstractNumId w:val="25"/>
  </w:num>
  <w:num w:numId="55">
    <w:abstractNumId w:val="25"/>
  </w:num>
  <w:num w:numId="56">
    <w:abstractNumId w:val="25"/>
  </w:num>
  <w:num w:numId="57">
    <w:abstractNumId w:val="25"/>
  </w:num>
  <w:num w:numId="58">
    <w:abstractNumId w:val="25"/>
  </w:num>
  <w:num w:numId="59">
    <w:abstractNumId w:val="26"/>
  </w:num>
  <w:num w:numId="60">
    <w:abstractNumId w:val="27"/>
  </w:num>
  <w:num w:numId="61">
    <w:abstractNumId w:val="28"/>
  </w:num>
  <w:num w:numId="62">
    <w:abstractNumId w:val="28"/>
  </w:num>
  <w:num w:numId="63">
    <w:abstractNumId w:val="28"/>
  </w:num>
  <w:num w:numId="64">
    <w:abstractNumId w:val="29"/>
  </w:num>
  <w:num w:numId="65">
    <w:abstractNumId w:val="30"/>
  </w:num>
  <w:num w:numId="66">
    <w:abstractNumId w:val="30"/>
  </w:num>
  <w:num w:numId="67">
    <w:abstractNumId w:val="31"/>
  </w:num>
  <w:num w:numId="68">
    <w:abstractNumId w:val="31"/>
  </w:num>
  <w:num w:numId="69">
    <w:abstractNumId w:val="32"/>
  </w:num>
  <w:num w:numId="70">
    <w:abstractNumId w:val="32"/>
  </w:num>
  <w:num w:numId="71">
    <w:abstractNumId w:val="33"/>
  </w:num>
  <w:num w:numId="72">
    <w:abstractNumId w:val="34"/>
  </w:num>
  <w:num w:numId="73">
    <w:abstractNumId w:val="34"/>
  </w:num>
  <w:num w:numId="74">
    <w:abstractNumId w:val="34"/>
  </w:num>
  <w:num w:numId="75">
    <w:abstractNumId w:val="35"/>
  </w:num>
  <w:num w:numId="76">
    <w:abstractNumId w:val="34"/>
  </w:num>
  <w:num w:numId="77">
    <w:abstractNumId w:val="34"/>
  </w:num>
  <w:num w:numId="78">
    <w:abstractNumId w:val="36"/>
  </w:num>
  <w:num w:numId="79">
    <w:abstractNumId w:val="36"/>
  </w:num>
  <w:num w:numId="80">
    <w:abstractNumId w:val="34"/>
  </w:num>
  <w:num w:numId="81">
    <w:abstractNumId w:val="34"/>
  </w:num>
  <w:num w:numId="82">
    <w:abstractNumId w:val="37"/>
  </w:num>
  <w:num w:numId="83">
    <w:abstractNumId w:val="38"/>
  </w:num>
  <w:num w:numId="84">
    <w:abstractNumId w:val="40"/>
  </w:num>
  <w:num w:numId="85">
    <w:abstractNumId w:val="40"/>
  </w:num>
  <w:num w:numId="86">
    <w:abstractNumId w:val="40"/>
  </w:num>
  <w:num w:numId="87">
    <w:abstractNumId w:val="42"/>
  </w:num>
  <w:num w:numId="88">
    <w:abstractNumId w:val="42"/>
  </w:num>
  <w:num w:numId="89">
    <w:abstractNumId w:val="42"/>
  </w:num>
  <w:num w:numId="90">
    <w:abstractNumId w:val="42"/>
  </w:num>
</w:numbering>
</file>

<file path=word/settings.xml><?xml version="1.0" encoding="utf-8"?>
<w:settings xmlns:w="http://schemas.openxmlformats.org/wordprocessingml/2006/main">
  <w:zoom w:percent="7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hyphenationZone w:val="425"/>
  <w:themeFontLang w:val="hr-H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Tahoma"/>
        <w:sz w:val="22"/>
        <w:szCs w:val="22"/>
        <w:lang w:val="hr-HR"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customStyle="1">
    <w:name w:val="Normal"/>
    <w:qFormat/>
    <w:pPr>
      <w:widowControl/>
      <w:suppressAutoHyphens w:val="true"/>
      <w:bidi w:val="0"/>
      <w:spacing w:lineRule="auto" w:line="259" w:before="0" w:after="160"/>
      <w:jc w:val="left"/>
      <w:textAlignment w:val="baseline"/>
    </w:pPr>
    <w:rPr>
      <w:rFonts w:ascii="Quincy CF" w:hAnsi="Quincy CF" w:eastAsia="Quincy CF" w:cs="Quincy CF"/>
      <w:color w:val="auto"/>
      <w:kern w:val="0"/>
      <w:sz w:val="22"/>
      <w:szCs w:val="22"/>
      <w:lang w:val="hr-HR" w:eastAsia="en-US" w:bidi="ar-SA"/>
    </w:rPr>
  </w:style>
  <w:style w:type="paragraph" w:styleId="Berschrift1">
    <w:name w:val="Heading 1"/>
    <w:basedOn w:val="Normal"/>
    <w:next w:val="Normal"/>
    <w:uiPriority w:val="9"/>
    <w:qFormat/>
    <w:pPr>
      <w:keepNext w:val="true"/>
      <w:keepLines/>
      <w:numPr>
        <w:ilvl w:val="0"/>
        <w:numId w:val="1"/>
      </w:numPr>
      <w:spacing w:before="240" w:after="0"/>
      <w:outlineLvl w:val="0"/>
    </w:pPr>
    <w:rPr>
      <w:rFonts w:ascii="Compiler Plain Black" w:hAnsi="Compiler Plain Black" w:eastAsia="Calibri" w:cs="Tahoma"/>
      <w:color w:val="F15621"/>
      <w:sz w:val="32"/>
      <w:szCs w:val="63"/>
      <w:lang w:val="en-GB"/>
    </w:rPr>
  </w:style>
  <w:style w:type="paragraph" w:styleId="Berschrift2">
    <w:name w:val="Heading 2"/>
    <w:basedOn w:val="Normal"/>
    <w:next w:val="Normal"/>
    <w:uiPriority w:val="9"/>
    <w:unhideWhenUsed/>
    <w:qFormat/>
    <w:pPr>
      <w:keepNext w:val="true"/>
      <w:keepLines/>
      <w:spacing w:before="40" w:after="0"/>
      <w:outlineLvl w:val="1"/>
    </w:pPr>
    <w:rPr>
      <w:rFonts w:ascii="Compiler Plain Medium" w:hAnsi="Compiler Plain Medium" w:eastAsia="Calibri" w:cs="Tahoma"/>
      <w:color w:val="F15621"/>
      <w:sz w:val="28"/>
      <w:szCs w:val="26"/>
    </w:rPr>
  </w:style>
  <w:style w:type="paragraph" w:styleId="Berschrift3">
    <w:name w:val="Heading 3"/>
    <w:basedOn w:val="Normal"/>
    <w:next w:val="Normal"/>
    <w:uiPriority w:val="9"/>
    <w:unhideWhenUsed/>
    <w:qFormat/>
    <w:pPr>
      <w:keepNext w:val="true"/>
      <w:keepLines/>
      <w:spacing w:before="40" w:after="0"/>
      <w:outlineLvl w:val="2"/>
    </w:pPr>
    <w:rPr>
      <w:rFonts w:eastAsia="Calibri" w:cs="Tahoma"/>
      <w:color w:val="3039F4"/>
      <w:sz w:val="24"/>
      <w:szCs w:val="24"/>
      <w:u w:val="single"/>
    </w:rPr>
  </w:style>
  <w:style w:type="paragraph" w:styleId="Berschrift4">
    <w:name w:val="Heading 4"/>
    <w:basedOn w:val="Normal"/>
    <w:next w:val="Normal"/>
    <w:uiPriority w:val="9"/>
    <w:semiHidden/>
    <w:unhideWhenUsed/>
    <w:qFormat/>
    <w:pPr>
      <w:keepNext w:val="true"/>
      <w:keepLines/>
      <w:spacing w:before="40" w:after="0"/>
      <w:outlineLvl w:val="3"/>
    </w:pPr>
    <w:rPr>
      <w:rFonts w:eastAsia="Calibri" w:cs="Tahoma"/>
      <w:i/>
      <w:iCs/>
      <w:color w:val="3039F4"/>
    </w:rPr>
  </w:style>
  <w:style w:type="paragraph" w:styleId="Berschrift5">
    <w:name w:val="Heading 5"/>
    <w:basedOn w:val="Berschrift"/>
    <w:next w:val="Textkrper"/>
    <w:qFormat/>
    <w:pPr>
      <w:spacing w:before="120" w:after="60"/>
      <w:outlineLvl w:val="4"/>
    </w:pPr>
    <w:rPr>
      <w:rFonts w:ascii="Liberation Serif" w:hAnsi="Liberation Serif" w:eastAsia="Segoe UI" w:cs="Tahoma"/>
      <w:b/>
      <w:bCs/>
      <w:sz w:val="20"/>
      <w:szCs w:val="20"/>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qFormat/>
    <w:rPr>
      <w:rFonts w:ascii="Compiler Plain Black" w:hAnsi="Compiler Plain Black" w:eastAsia="Calibri" w:cs="Tahoma"/>
      <w:color w:val="F15621"/>
      <w:sz w:val="32"/>
      <w:szCs w:val="63"/>
      <w:lang w:val="en-GB"/>
    </w:rPr>
  </w:style>
  <w:style w:type="character" w:styleId="UntertitelZchn" w:customStyle="1">
    <w:name w:val="Untertitel Zchn"/>
    <w:basedOn w:val="DefaultParagraphFont"/>
    <w:qFormat/>
    <w:rPr>
      <w:rFonts w:ascii="Compiler Plain Medium" w:hAnsi="Compiler Plain Medium" w:eastAsia="Calibri" w:cs="Compiler Plain Medium"/>
      <w:b/>
      <w:bCs/>
      <w:color w:val="3039F4"/>
      <w:spacing w:val="15"/>
      <w:sz w:val="36"/>
    </w:rPr>
  </w:style>
  <w:style w:type="character" w:styleId="KopfzeileZchn" w:customStyle="1">
    <w:name w:val="Kopfzeile Zchn"/>
    <w:basedOn w:val="DefaultParagraphFont"/>
    <w:qFormat/>
    <w:rPr/>
  </w:style>
  <w:style w:type="character" w:styleId="FuzeileZchn" w:customStyle="1">
    <w:name w:val="Fußzeile Zchn"/>
    <w:basedOn w:val="DefaultParagraphFont"/>
    <w:qFormat/>
    <w:rPr/>
  </w:style>
  <w:style w:type="character" w:styleId="Berschrift2Zchn" w:customStyle="1">
    <w:name w:val="Überschrift 2 Zchn"/>
    <w:basedOn w:val="DefaultParagraphFont"/>
    <w:qFormat/>
    <w:rPr>
      <w:rFonts w:ascii="Compiler Plain Medium" w:hAnsi="Compiler Plain Medium" w:eastAsia="Calibri" w:cs="Tahoma"/>
      <w:color w:val="F15621"/>
      <w:sz w:val="28"/>
      <w:szCs w:val="26"/>
    </w:rPr>
  </w:style>
  <w:style w:type="character" w:styleId="TitelZchn" w:customStyle="1">
    <w:name w:val="Titel Zchn"/>
    <w:basedOn w:val="DefaultParagraphFont"/>
    <w:qFormat/>
    <w:rPr>
      <w:rFonts w:ascii="Compiler Plain Black" w:hAnsi="Compiler Plain Black" w:eastAsia="Calibri" w:cs="Tahoma"/>
      <w:color w:val="F15621"/>
      <w:spacing w:val="-10"/>
      <w:kern w:val="2"/>
      <w:sz w:val="63"/>
      <w:szCs w:val="56"/>
    </w:rPr>
  </w:style>
  <w:style w:type="character" w:styleId="Berschrift3Zchn" w:customStyle="1">
    <w:name w:val="Überschrift 3 Zchn"/>
    <w:basedOn w:val="DefaultParagraphFont"/>
    <w:qFormat/>
    <w:rPr>
      <w:rFonts w:ascii="Quincy CF" w:hAnsi="Quincy CF" w:eastAsia="Calibri" w:cs="Tahoma"/>
      <w:color w:val="3039F4"/>
      <w:sz w:val="24"/>
      <w:szCs w:val="24"/>
    </w:rPr>
  </w:style>
  <w:style w:type="character" w:styleId="Berschrift4Zchn" w:customStyle="1">
    <w:name w:val="Überschrift 4 Zchn"/>
    <w:basedOn w:val="DefaultParagraphFont"/>
    <w:qFormat/>
    <w:rPr>
      <w:rFonts w:ascii="Quincy CF" w:hAnsi="Quincy CF" w:eastAsia="Calibri" w:cs="Tahoma"/>
      <w:i/>
      <w:iCs/>
      <w:color w:val="3039F4"/>
    </w:rPr>
  </w:style>
  <w:style w:type="character" w:styleId="Internetlink" w:customStyle="1">
    <w:name w:val="Hyperlink"/>
    <w:basedOn w:val="DefaultParagraphFont"/>
    <w:qFormat/>
    <w:rPr>
      <w:color w:val="0563C1"/>
      <w:u w:val="single"/>
    </w:rPr>
  </w:style>
  <w:style w:type="character" w:styleId="UnresolvedMention">
    <w:name w:val="Unresolved Mention"/>
    <w:basedOn w:val="DefaultParagraphFont"/>
    <w:qFormat/>
    <w:rPr>
      <w:color w:val="605E5C"/>
      <w:shd w:fill="E1DFDD" w:val="clear"/>
    </w:rPr>
  </w:style>
  <w:style w:type="character" w:styleId="Annotationreference">
    <w:name w:val="annotation reference"/>
    <w:basedOn w:val="DefaultParagraphFont"/>
    <w:qFormat/>
    <w:rPr>
      <w:sz w:val="16"/>
      <w:szCs w:val="16"/>
    </w:rPr>
  </w:style>
  <w:style w:type="character" w:styleId="KommentartextZchn" w:customStyle="1">
    <w:name w:val="Kommentartext Zchn"/>
    <w:basedOn w:val="DefaultParagraphFont"/>
    <w:qFormat/>
    <w:rPr>
      <w:rFonts w:ascii="Quincy CF" w:hAnsi="Quincy CF" w:eastAsia="Quincy CF" w:cs="Quincy CF"/>
      <w:sz w:val="20"/>
      <w:szCs w:val="20"/>
    </w:rPr>
  </w:style>
  <w:style w:type="character" w:styleId="KommentarthemaZchn" w:customStyle="1">
    <w:name w:val="Kommentarthema Zchn"/>
    <w:basedOn w:val="KommentartextZchn"/>
    <w:qFormat/>
    <w:rPr>
      <w:rFonts w:ascii="Quincy CF" w:hAnsi="Quincy CF" w:eastAsia="Quincy CF" w:cs="Quincy CF"/>
      <w:b/>
      <w:bCs/>
      <w:sz w:val="20"/>
      <w:szCs w:val="20"/>
    </w:rPr>
  </w:style>
  <w:style w:type="character" w:styleId="Servercontent" w:customStyle="1">
    <w:name w:val="server-content"/>
    <w:basedOn w:val="DefaultParagraphFont"/>
    <w:qFormat/>
    <w:rPr/>
  </w:style>
  <w:style w:type="character" w:styleId="Verzeichnissprung" w:customStyle="1">
    <w:name w:val="Verzeichnissprung"/>
    <w:qFormat/>
    <w:rPr/>
  </w:style>
  <w:style w:type="character" w:styleId="Aufzhlungszeichen" w:customStyle="1">
    <w:name w:val="Aufzählungszeichen"/>
    <w:qFormat/>
    <w:rPr>
      <w:rFonts w:ascii="OpenSymbol" w:hAnsi="OpenSymbol" w:eastAsia="OpenSymbol" w:cs="OpenSymbol"/>
    </w:rPr>
  </w:style>
  <w:style w:type="character" w:styleId="Nummerierungszeichen" w:customStyle="1">
    <w:name w:val="Nummerierungszeichen"/>
    <w:qFormat/>
    <w:rPr/>
  </w:style>
  <w:style w:type="character" w:styleId="SubtleEmphasis">
    <w:name w:val="Subtle Emphasis"/>
    <w:basedOn w:val="DefaultParagraphFont"/>
    <w:qFormat/>
    <w:rPr>
      <w:i/>
      <w:iCs/>
      <w:color w:val="404040"/>
    </w:rPr>
  </w:style>
  <w:style w:type="character" w:styleId="VisitedInternetLink" w:customStyle="1">
    <w:name w:val="FollowedHyperlink"/>
    <w:basedOn w:val="DefaultParagraphFont"/>
    <w:qFormat/>
    <w:rPr>
      <w:color w:val="954F72"/>
      <w:u w:val="single"/>
    </w:rPr>
  </w:style>
  <w:style w:type="character" w:styleId="SprechblasentextZchn" w:customStyle="1">
    <w:name w:val="Sprechblasentext Zchn"/>
    <w:basedOn w:val="DefaultParagraphFont"/>
    <w:qFormat/>
    <w:rPr>
      <w:rFonts w:ascii="Segoe UI" w:hAnsi="Segoe UI" w:eastAsia="Quincy CF" w:cs="Segoe UI"/>
      <w:sz w:val="18"/>
      <w:szCs w:val="18"/>
    </w:rPr>
  </w:style>
  <w:style w:type="character" w:styleId="Linenumbering" w:customStyle="1">
    <w:name w:val="Line numbering"/>
    <w:qFormat/>
    <w:rPr/>
  </w:style>
  <w:style w:type="character" w:styleId="Internetverknpfung">
    <w:name w:val="Internetverknüpfung"/>
    <w:rPr>
      <w:color w:val="000080"/>
      <w:u w:val="single"/>
      <w:lang w:val="zxx" w:eastAsia="zxx" w:bidi="zxx"/>
    </w:rPr>
  </w:style>
  <w:style w:type="character" w:styleId="BesuchteInternetverknpfung">
    <w:name w:val="Besuchte Internetverknüpfung"/>
    <w:basedOn w:val="DefaultParagraphFont"/>
    <w:rPr>
      <w:color w:val="954F72" w:themeColor="followedHyperlink"/>
      <w:u w:val="single"/>
    </w:rPr>
  </w:style>
  <w:style w:type="paragraph" w:styleId="Berschrift" w:customStyle="1">
    <w:name w:val="Überschrift"/>
    <w:basedOn w:val="Normal"/>
    <w:next w:val="Textbody"/>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body"/>
    <w:pPr/>
    <w:rPr>
      <w:rFonts w:cs="Lucida Sans"/>
      <w:sz w:val="24"/>
    </w:rPr>
  </w:style>
  <w:style w:type="paragraph" w:styleId="Beschriftung">
    <w:name w:val="Caption"/>
    <w:basedOn w:val="Normal"/>
    <w:qFormat/>
    <w:pPr>
      <w:suppressLineNumbers/>
      <w:spacing w:before="120" w:after="120"/>
    </w:pPr>
    <w:rPr>
      <w:rFonts w:cs="Lucida Sans"/>
      <w:i/>
      <w:iCs/>
      <w:sz w:val="24"/>
      <w:szCs w:val="24"/>
    </w:rPr>
  </w:style>
  <w:style w:type="paragraph" w:styleId="Verzeichnis" w:customStyle="1">
    <w:name w:val="Verzeichnis"/>
    <w:basedOn w:val="Normal"/>
    <w:qFormat/>
    <w:pPr>
      <w:suppressLineNumbers/>
    </w:pPr>
    <w:rPr>
      <w:rFonts w:cs="Lucida Sans"/>
      <w:sz w:val="24"/>
    </w:rPr>
  </w:style>
  <w:style w:type="paragraph" w:styleId="Textbody" w:customStyle="1">
    <w:name w:val="Text body"/>
    <w:basedOn w:val="Normal"/>
    <w:qFormat/>
    <w:pPr>
      <w:spacing w:lineRule="auto" w:line="276" w:before="0" w:after="140"/>
    </w:pPr>
    <w:rPr/>
  </w:style>
  <w:style w:type="paragraph" w:styleId="Caption">
    <w:name w:val="caption"/>
    <w:basedOn w:val="Normal"/>
    <w:qFormat/>
    <w:pPr>
      <w:suppressLineNumbers/>
      <w:spacing w:before="120" w:after="120"/>
    </w:pPr>
    <w:rPr>
      <w:rFonts w:cs="Lucida Sans"/>
      <w:i/>
      <w:iCs/>
      <w:sz w:val="24"/>
      <w:szCs w:val="24"/>
    </w:rPr>
  </w:style>
  <w:style w:type="paragraph" w:styleId="Untertitel">
    <w:name w:val="Subtitle"/>
    <w:basedOn w:val="Normal"/>
    <w:next w:val="Normal"/>
    <w:uiPriority w:val="11"/>
    <w:qFormat/>
    <w:pPr/>
    <w:rPr>
      <w:rFonts w:ascii="Compiler Plain Medium" w:hAnsi="Compiler Plain Medium" w:eastAsia="Calibri" w:cs="Compiler Plain Medium"/>
      <w:b/>
      <w:bCs/>
      <w:color w:val="3039F4"/>
      <w:spacing w:val="15"/>
      <w:sz w:val="36"/>
    </w:rPr>
  </w:style>
  <w:style w:type="paragraph" w:styleId="KopfundFuzeile" w:customStyle="1">
    <w:name w:val="Kopf- und Fußzeile"/>
    <w:basedOn w:val="Normal"/>
    <w:qFormat/>
    <w:pPr/>
    <w:rPr/>
  </w:style>
  <w:style w:type="paragraph" w:styleId="Kopfzeile">
    <w:name w:val="Header"/>
    <w:basedOn w:val="Normal"/>
    <w:pPr>
      <w:tabs>
        <w:tab w:val="clear" w:pos="708"/>
        <w:tab w:val="center" w:pos="4536" w:leader="none"/>
        <w:tab w:val="right" w:pos="9072" w:leader="none"/>
      </w:tabs>
      <w:spacing w:lineRule="auto" w:line="240" w:before="0" w:after="0"/>
    </w:pPr>
    <w:rPr/>
  </w:style>
  <w:style w:type="paragraph" w:styleId="Fuzeile">
    <w:name w:val="Footer"/>
    <w:basedOn w:val="Normal"/>
    <w:pPr>
      <w:tabs>
        <w:tab w:val="clear" w:pos="708"/>
        <w:tab w:val="center" w:pos="4536" w:leader="none"/>
        <w:tab w:val="right" w:pos="9072" w:leader="none"/>
      </w:tabs>
      <w:spacing w:lineRule="auto" w:line="240" w:before="0" w:after="0"/>
    </w:pPr>
    <w:rPr/>
  </w:style>
  <w:style w:type="paragraph" w:styleId="Titel">
    <w:name w:val="Title"/>
    <w:basedOn w:val="Normal"/>
    <w:next w:val="Normal"/>
    <w:uiPriority w:val="10"/>
    <w:qFormat/>
    <w:pPr>
      <w:spacing w:lineRule="auto" w:line="240" w:before="0" w:after="0"/>
    </w:pPr>
    <w:rPr>
      <w:rFonts w:ascii="Compiler Plain Black" w:hAnsi="Compiler Plain Black" w:eastAsia="Calibri" w:cs="Tahoma"/>
      <w:color w:val="F15621"/>
      <w:spacing w:val="-10"/>
      <w:kern w:val="2"/>
      <w:sz w:val="63"/>
      <w:szCs w:val="56"/>
    </w:rPr>
  </w:style>
  <w:style w:type="paragraph" w:styleId="Indexheading">
    <w:name w:val="index heading"/>
    <w:basedOn w:val="Berschrift"/>
    <w:qFormat/>
    <w:pPr>
      <w:suppressLineNumbers/>
    </w:pPr>
    <w:rPr>
      <w:b/>
      <w:bCs/>
      <w:sz w:val="32"/>
      <w:szCs w:val="32"/>
    </w:rPr>
  </w:style>
  <w:style w:type="paragraph" w:styleId="ContentsHeading" w:customStyle="1">
    <w:name w:val="Contents Heading"/>
    <w:basedOn w:val="Berschrift1"/>
    <w:next w:val="Normal"/>
    <w:qFormat/>
    <w:pPr/>
    <w:rPr>
      <w:rFonts w:ascii="Calibri Light" w:hAnsi="Calibri Light" w:eastAsia="Calibri Light" w:cs="Calibri Light"/>
      <w:color w:val="2F5496"/>
      <w:lang w:val="en-US"/>
    </w:rPr>
  </w:style>
  <w:style w:type="paragraph" w:styleId="Contents1" w:customStyle="1">
    <w:name w:val="Contents 1"/>
    <w:basedOn w:val="Normal"/>
    <w:next w:val="Normal"/>
    <w:autoRedefine/>
    <w:qFormat/>
    <w:pPr>
      <w:spacing w:before="0" w:after="100"/>
    </w:pPr>
    <w:rPr/>
  </w:style>
  <w:style w:type="paragraph" w:styleId="Contents3" w:customStyle="1">
    <w:name w:val="Contents 3"/>
    <w:basedOn w:val="Normal"/>
    <w:next w:val="Normal"/>
    <w:autoRedefine/>
    <w:qFormat/>
    <w:pPr>
      <w:spacing w:before="0" w:after="100"/>
      <w:ind w:left="440" w:hanging="0"/>
    </w:pPr>
    <w:rPr/>
  </w:style>
  <w:style w:type="paragraph" w:styleId="NoSpacing">
    <w:name w:val="No Spacing"/>
    <w:qFormat/>
    <w:pPr>
      <w:widowControl/>
      <w:suppressAutoHyphens w:val="true"/>
      <w:bidi w:val="0"/>
      <w:spacing w:before="0" w:after="0"/>
      <w:jc w:val="left"/>
      <w:textAlignment w:val="baseline"/>
    </w:pPr>
    <w:rPr>
      <w:rFonts w:ascii="Quincy CF" w:hAnsi="Quincy CF" w:eastAsia="Quincy CF" w:cs="Quincy CF"/>
      <w:color w:val="auto"/>
      <w:kern w:val="0"/>
      <w:sz w:val="22"/>
      <w:szCs w:val="22"/>
      <w:lang w:val="hr-HR" w:eastAsia="en-US" w:bidi="ar-SA"/>
    </w:rPr>
  </w:style>
  <w:style w:type="paragraph" w:styleId="ListParagraph">
    <w:name w:val="List Paragraph"/>
    <w:basedOn w:val="Normal"/>
    <w:qFormat/>
    <w:pPr>
      <w:ind w:left="720" w:hanging="0"/>
    </w:pPr>
    <w:rPr/>
  </w:style>
  <w:style w:type="paragraph" w:styleId="Contents2" w:customStyle="1">
    <w:name w:val="Contents 2"/>
    <w:basedOn w:val="Normal"/>
    <w:next w:val="Normal"/>
    <w:autoRedefine/>
    <w:qFormat/>
    <w:pPr>
      <w:spacing w:before="0" w:after="100"/>
      <w:ind w:left="220" w:hanging="0"/>
    </w:pPr>
    <w:rPr/>
  </w:style>
  <w:style w:type="paragraph" w:styleId="NormalWeb">
    <w:name w:val="Normal (Web)"/>
    <w:basedOn w:val="Normal"/>
    <w:qFormat/>
    <w:pPr>
      <w:spacing w:lineRule="auto" w:line="240" w:before="280" w:after="280"/>
    </w:pPr>
    <w:rPr>
      <w:rFonts w:ascii="Times New Roman" w:hAnsi="Times New Roman" w:eastAsia="Times New Roman" w:cs="Times New Roman"/>
      <w:sz w:val="24"/>
      <w:szCs w:val="24"/>
      <w:lang w:val="de-AT" w:eastAsia="de-AT"/>
    </w:rPr>
  </w:style>
  <w:style w:type="paragraph" w:styleId="Annotationtext">
    <w:name w:val="annotation text"/>
    <w:basedOn w:val="Normal"/>
    <w:qFormat/>
    <w:pPr>
      <w:spacing w:lineRule="auto" w:line="240"/>
    </w:pPr>
    <w:rPr>
      <w:sz w:val="20"/>
      <w:szCs w:val="20"/>
    </w:rPr>
  </w:style>
  <w:style w:type="paragraph" w:styleId="Annotationsubject">
    <w:name w:val="annotation subject"/>
    <w:basedOn w:val="Annotationtext"/>
    <w:next w:val="Annotationtext"/>
    <w:qFormat/>
    <w:pPr/>
    <w:rPr>
      <w:b/>
      <w:bCs/>
    </w:rPr>
  </w:style>
  <w:style w:type="paragraph" w:styleId="Rahmeninhalt" w:customStyle="1">
    <w:name w:val="Rahmeninhalt"/>
    <w:basedOn w:val="Normal"/>
    <w:qFormat/>
    <w:pPr/>
    <w:rPr/>
  </w:style>
  <w:style w:type="paragraph" w:styleId="Tabelleninhalt" w:customStyle="1">
    <w:name w:val="Tabelleninhalt"/>
    <w:basedOn w:val="Normal"/>
    <w:qFormat/>
    <w:pPr>
      <w:widowControl w:val="false"/>
      <w:suppressLineNumbers/>
    </w:pPr>
    <w:rPr/>
  </w:style>
  <w:style w:type="paragraph" w:styleId="Tabellenberschrift" w:customStyle="1">
    <w:name w:val="Tabellenüberschrift"/>
    <w:basedOn w:val="Tabelleninhalt"/>
    <w:qFormat/>
    <w:pPr>
      <w:jc w:val="center"/>
    </w:pPr>
    <w:rPr>
      <w:b/>
      <w:bCs/>
    </w:rPr>
  </w:style>
  <w:style w:type="paragraph" w:styleId="BalloonText">
    <w:name w:val="Balloon Text"/>
    <w:basedOn w:val="Normal"/>
    <w:qFormat/>
    <w:pPr>
      <w:spacing w:lineRule="auto" w:line="240" w:before="0" w:after="0"/>
    </w:pPr>
    <w:rPr>
      <w:rFonts w:ascii="Segoe UI" w:hAnsi="Segoe UI" w:eastAsia="Segoe UI" w:cs="Segoe UI"/>
      <w:sz w:val="18"/>
      <w:szCs w:val="18"/>
    </w:rPr>
  </w:style>
  <w:style w:type="numbering" w:styleId="NoList" w:default="1">
    <w:name w:val="No List"/>
    <w:uiPriority w:val="99"/>
    <w:semiHidden/>
    <w:unhideWhenUsed/>
    <w:qFormat/>
  </w:style>
  <w:style w:type="table" w:default="1" w:styleId="Obinatablica">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image" Target="media/image3.png"/><Relationship Id="rId6" Type="http://schemas.openxmlformats.org/officeDocument/2006/relationships/hyperlink" Target="http://creativecommons.org/licenses/by-sa/4.0/" TargetMode="External"/><Relationship Id="rId7" Type="http://schemas.openxmlformats.org/officeDocument/2006/relationships/hyperlink" Target="https://www.youtube.com/watch?v=yAm8jPA1XY4" TargetMode="External"/><Relationship Id="rId8" Type="http://schemas.openxmlformats.org/officeDocument/2006/relationships/hyperlink" Target="https://de.stay-grounded.org/" TargetMode="External"/><Relationship Id="rId9" Type="http://schemas.openxmlformats.org/officeDocument/2006/relationships/hyperlink" Target="https://de.stay-grounded.org/" TargetMode="External"/><Relationship Id="rId10" Type="http://schemas.openxmlformats.org/officeDocument/2006/relationships/hyperlink" Target="https://climatejusticealliance.org/just-transition/" TargetMode="External"/><Relationship Id="rId11" Type="http://schemas.openxmlformats.org/officeDocument/2006/relationships/hyperlink" Target="https://transformation-haus-feld.de/" TargetMode="External"/><Relationship Id="rId12" Type="http://schemas.openxmlformats.org/officeDocument/2006/relationships/hyperlink" Target="https://digitalcollection.zhaw.ch/bitstream/11475/23559/3/2021_Rohrer_Wirkung-von-Eigenverantwortung-und-politischen-Massnahmen.pdf" TargetMode="External"/><Relationship Id="rId13" Type="http://schemas.openxmlformats.org/officeDocument/2006/relationships/hyperlink" Target="https://www.transportenvironment.org/wp-content/uploads/2021/07/EC_report_Taxes_in_field_of_aviation_and_their_impact_web.pdf" TargetMode="External"/><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footer" Target="footer2.xml"/><Relationship Id="rId17" Type="http://schemas.openxmlformats.org/officeDocument/2006/relationships/footer" Target="footer3.xml"/><Relationship Id="rId18" Type="http://schemas.openxmlformats.org/officeDocument/2006/relationships/numbering" Target="numbering.xml"/><Relationship Id="rId19" Type="http://schemas.openxmlformats.org/officeDocument/2006/relationships/fontTable" Target="fontTable.xml"/><Relationship Id="rId20" Type="http://schemas.openxmlformats.org/officeDocument/2006/relationships/settings" Target="settings.xml"/><Relationship Id="rId21" Type="http://schemas.openxmlformats.org/officeDocument/2006/relationships/theme" Target="theme/theme1.xml"/>
</Relationships>
</file>

<file path=word/_rels/header1.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png"/><Relationship Id="rId3" Type="http://schemas.openxmlformats.org/officeDocument/2006/relationships/image" Target="media/image5.png"/>
</Relationships>
</file>

<file path=word/_rels/header2.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png"/><Relationship Id="rId3" Type="http://schemas.openxmlformats.org/officeDocument/2006/relationships/image" Target="media/image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2185</TotalTime>
  <Application>LibreOffice/7.3.2.2$Windows_X86_64 LibreOffice_project/49f2b1bff42cfccbd8f788c8dc32c1c309559be0</Application>
  <AppVersion>15.0000</AppVersion>
  <Pages>21</Pages>
  <Words>4485</Words>
  <Characters>26677</Characters>
  <CharactersWithSpaces>30714</CharactersWithSpaces>
  <Paragraphs>439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2023-02-03T13:37:00Z</dcterms:created>
  <dc:creator>Anna</dc:creator>
  <dc:description/>
  <dc:language>de-AT</dc:language>
  <cp:lastModifiedBy/>
  <dcterms:modified xsi:type="dcterms:W3CDTF">2023-06-30T10:02:49Z</dcterms:modified>
  <cp:revision>77</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7d69d9355851e71d339190197b9c7b88d3903f0b1a47d07b679c8cb31d4d06b7</vt:lpwstr>
  </property>
</Properties>
</file>